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B0" w:rsidRPr="004F39ED" w:rsidRDefault="008846B0" w:rsidP="00232FD2">
      <w:pPr>
        <w:jc w:val="right"/>
        <w:rPr>
          <w:rFonts w:ascii="Times New Roman" w:hAnsi="Times New Roman"/>
          <w:sz w:val="24"/>
          <w:szCs w:val="24"/>
        </w:rPr>
      </w:pPr>
    </w:p>
    <w:p w:rsidR="00177699" w:rsidRPr="0018416F" w:rsidRDefault="00232FD2" w:rsidP="00232FD2">
      <w:pPr>
        <w:jc w:val="right"/>
        <w:rPr>
          <w:rFonts w:ascii="Times New Roman" w:hAnsi="Times New Roman"/>
          <w:sz w:val="24"/>
          <w:szCs w:val="24"/>
          <w:lang w:val="bg-BG"/>
        </w:rPr>
      </w:pPr>
      <w:r w:rsidRPr="0018416F">
        <w:rPr>
          <w:rFonts w:ascii="Times New Roman" w:hAnsi="Times New Roman"/>
          <w:sz w:val="24"/>
          <w:szCs w:val="24"/>
          <w:lang w:val="bg-BG"/>
        </w:rPr>
        <w:t xml:space="preserve">Приложение № 1 </w:t>
      </w:r>
      <w:r w:rsidR="002623C1">
        <w:rPr>
          <w:rFonts w:ascii="Times New Roman" w:hAnsi="Times New Roman"/>
          <w:sz w:val="24"/>
          <w:szCs w:val="24"/>
          <w:lang w:val="bg-BG"/>
        </w:rPr>
        <w:t xml:space="preserve">към Заповед № </w:t>
      </w:r>
      <w:r w:rsidR="00AA19BD">
        <w:rPr>
          <w:rFonts w:ascii="Times New Roman" w:hAnsi="Times New Roman"/>
          <w:sz w:val="24"/>
          <w:szCs w:val="24"/>
          <w:lang w:val="bg-BG"/>
        </w:rPr>
        <w:t>………………..</w:t>
      </w:r>
      <w:r w:rsidR="002623C1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18416F" w:rsidRDefault="0018416F" w:rsidP="00F07187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</w:p>
    <w:p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rFonts w:ascii="Times New Roman" w:hAnsi="Times New Roman"/>
          <w:b/>
          <w:sz w:val="32"/>
          <w:szCs w:val="32"/>
          <w:lang w:val="bg-BG"/>
        </w:rPr>
        <w:t>Стратегически план за развитие на земеделието и селските райони на Република България за периода 2023-2027 г.</w:t>
      </w:r>
    </w:p>
    <w:p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77699" w:rsidRPr="0018416F" w:rsidRDefault="00177699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rFonts w:ascii="Times New Roman" w:hAnsi="Times New Roman"/>
          <w:b/>
          <w:sz w:val="24"/>
          <w:szCs w:val="24"/>
          <w:lang w:val="bg-BG"/>
        </w:rPr>
        <w:t xml:space="preserve">Условия за кандидатстване </w:t>
      </w:r>
    </w:p>
    <w:p w:rsidR="00177699" w:rsidRPr="0018416F" w:rsidRDefault="00177699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rFonts w:ascii="Times New Roman" w:hAnsi="Times New Roman"/>
          <w:b/>
          <w:sz w:val="24"/>
          <w:szCs w:val="24"/>
          <w:lang w:val="bg-BG"/>
        </w:rPr>
        <w:t>със заявления за подпомагане</w:t>
      </w:r>
      <w:r w:rsidR="00560904" w:rsidRPr="0018416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77825" w:rsidRPr="0018416F">
        <w:rPr>
          <w:rFonts w:ascii="Times New Roman" w:hAnsi="Times New Roman"/>
          <w:b/>
          <w:sz w:val="24"/>
          <w:szCs w:val="24"/>
          <w:lang w:val="bg-BG"/>
        </w:rPr>
        <w:t>по процедура чрез подбор</w:t>
      </w:r>
    </w:p>
    <w:p w:rsidR="00D65705" w:rsidRPr="0018416F" w:rsidRDefault="00D65705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77699" w:rsidRPr="0018416F" w:rsidRDefault="00177699" w:rsidP="00177699">
      <w:pPr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9062"/>
      </w:tblGrid>
      <w:tr w:rsidR="00177699" w:rsidRPr="00E2316B" w:rsidTr="00F12658">
        <w:tc>
          <w:tcPr>
            <w:tcW w:w="9062" w:type="dxa"/>
            <w:shd w:val="clear" w:color="auto" w:fill="FFC000"/>
          </w:tcPr>
          <w:p w:rsidR="00177699" w:rsidRPr="0018416F" w:rsidRDefault="00177699" w:rsidP="00F07187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054A89" w:rsidRDefault="00703369" w:rsidP="008D3C0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„</w:t>
            </w:r>
            <w:r w:rsidR="00135A2A" w:rsidRPr="00135A2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Подкрепа за</w:t>
            </w:r>
            <w:r w:rsidR="008D3C0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оперативни групи </w:t>
            </w:r>
            <w:r w:rsidR="00595BA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(втора стъпка)</w:t>
            </w:r>
            <w:r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“ </w:t>
            </w:r>
            <w:r w:rsidR="00560904"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 и</w:t>
            </w:r>
            <w:r w:rsidR="00806C5B" w:rsidRPr="0018416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нтервенция </w:t>
            </w:r>
          </w:p>
          <w:p w:rsidR="00177699" w:rsidRPr="00054A89" w:rsidRDefault="00595BAF" w:rsidP="00054A89">
            <w:pPr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II.Ж.1 </w:t>
            </w:r>
            <w:r w:rsidR="00A5342D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„</w:t>
            </w:r>
            <w:r w:rsidR="00135A2A" w:rsidRPr="00135A2A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Подкрепа за оперативни групи в рамките на Европейското</w:t>
            </w:r>
            <w:r w:rsidR="00135A2A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135A2A" w:rsidRPr="00135A2A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партньорство за иновации</w:t>
            </w:r>
            <w:r w:rsidR="00A5342D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>“</w:t>
            </w:r>
            <w:r w:rsidR="00054A89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560904" w:rsidRPr="0018416F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от СПРЗСР 2023 – 2027 г. </w:t>
            </w:r>
            <w:r w:rsidR="00ED6637" w:rsidRPr="0018416F">
              <w:rPr>
                <w:rFonts w:ascii="Times New Roman" w:eastAsiaTheme="majorEastAsia" w:hAnsi="Times New Roman"/>
                <w:b/>
                <w:bCs/>
                <w:sz w:val="28"/>
                <w:szCs w:val="28"/>
                <w:lang w:val="bg-BG"/>
              </w:rPr>
              <w:t xml:space="preserve"> </w:t>
            </w:r>
          </w:p>
          <w:p w:rsidR="00177699" w:rsidRPr="0018416F" w:rsidRDefault="00177699" w:rsidP="00F07187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64041F" w:rsidRPr="0018416F" w:rsidRDefault="0064041F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64041F" w:rsidRPr="00135A2A" w:rsidRDefault="0064041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77699" w:rsidRPr="0018416F" w:rsidRDefault="00177699" w:rsidP="00F07187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8416F">
        <w:rPr>
          <w:noProof/>
        </w:rPr>
        <w:drawing>
          <wp:inline distT="0" distB="0" distL="0" distR="0" wp14:anchorId="7DC54935" wp14:editId="14967FAD">
            <wp:extent cx="1943100" cy="1988047"/>
            <wp:effectExtent l="0" t="0" r="0" b="0"/>
            <wp:docPr id="1" name="Picture 1" descr="Министерството на земеделието, храните и горите ще потърси възможности за  отпускане на държавна помощ „де минимис“ за пчелари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инистерството на земеделието, храните и горите ще потърси възможности за  отпускане на държавна помощ „де минимис“ за пчеларит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8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77699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16F" w:rsidRPr="004F39ED" w:rsidRDefault="0018416F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5B1132" w:rsidRPr="004F39ED" w:rsidRDefault="005B1132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177699" w:rsidRPr="004F39ED" w:rsidRDefault="00FB6378" w:rsidP="00F071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Европейски</w:t>
      </w:r>
      <w:r w:rsidR="000E5651" w:rsidRPr="004F39ED">
        <w:rPr>
          <w:rFonts w:ascii="Times New Roman" w:hAnsi="Times New Roman"/>
          <w:b/>
          <w:sz w:val="24"/>
          <w:szCs w:val="24"/>
        </w:rPr>
        <w:t xml:space="preserve"> земеделски фонд за развитие на селските райони</w:t>
      </w:r>
    </w:p>
    <w:p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77699" w:rsidRPr="004F39ED" w:rsidRDefault="00177699" w:rsidP="00F07187">
      <w:pPr>
        <w:jc w:val="center"/>
        <w:rPr>
          <w:rFonts w:ascii="Times New Roman" w:hAnsi="Times New Roman"/>
          <w:b/>
          <w:sz w:val="24"/>
          <w:szCs w:val="24"/>
        </w:rPr>
      </w:pPr>
    </w:p>
    <w:p w:rsidR="00D65705" w:rsidRDefault="000D4542" w:rsidP="00D65705">
      <w:pPr>
        <w:jc w:val="center"/>
        <w:rPr>
          <w:rFonts w:ascii="Times New Roman" w:hAnsi="Times New Roman"/>
          <w:sz w:val="24"/>
          <w:szCs w:val="24"/>
        </w:rPr>
      </w:pPr>
      <w:r w:rsidRPr="004F39ED">
        <w:rPr>
          <w:rFonts w:ascii="Times New Roman" w:hAnsi="Times New Roman"/>
          <w:sz w:val="24"/>
          <w:szCs w:val="24"/>
        </w:rPr>
        <w:t>_______</w:t>
      </w:r>
      <w:r w:rsidR="00DF329C" w:rsidRPr="004F39ED">
        <w:rPr>
          <w:rFonts w:ascii="Times New Roman" w:hAnsi="Times New Roman"/>
          <w:sz w:val="24"/>
          <w:szCs w:val="24"/>
        </w:rPr>
        <w:t>____________________________2025</w:t>
      </w:r>
      <w:r w:rsidRPr="004F39ED">
        <w:rPr>
          <w:rFonts w:ascii="Times New Roman" w:hAnsi="Times New Roman"/>
          <w:sz w:val="24"/>
          <w:szCs w:val="24"/>
        </w:rPr>
        <w:t>____________________________________</w:t>
      </w:r>
    </w:p>
    <w:p w:rsidR="00764367" w:rsidRDefault="00764367" w:rsidP="00D65705">
      <w:pPr>
        <w:jc w:val="center"/>
        <w:rPr>
          <w:rFonts w:ascii="Times New Roman" w:hAnsi="Times New Roman"/>
          <w:sz w:val="24"/>
          <w:szCs w:val="24"/>
        </w:rPr>
      </w:pPr>
    </w:p>
    <w:p w:rsidR="00764367" w:rsidRPr="004F39ED" w:rsidRDefault="00764367" w:rsidP="00D65705">
      <w:pPr>
        <w:jc w:val="center"/>
        <w:rPr>
          <w:rFonts w:ascii="Times New Roman" w:hAnsi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bg-BG" w:eastAsia="en-GB"/>
        </w:rPr>
        <w:id w:val="407737723"/>
        <w:docPartObj>
          <w:docPartGallery w:val="Table of Contents"/>
          <w:docPartUnique/>
        </w:docPartObj>
      </w:sdtPr>
      <w:sdtEndPr>
        <w:rPr>
          <w:rFonts w:ascii="Calibri" w:hAnsi="Calibri" w:cs="Times New Roman"/>
          <w:bCs/>
          <w:noProof/>
          <w:lang w:val="en-GB"/>
        </w:rPr>
      </w:sdtEndPr>
      <w:sdtContent>
        <w:p w:rsidR="002053DF" w:rsidRPr="006435AF" w:rsidRDefault="002053DF">
          <w:pPr>
            <w:pStyle w:val="TOCHeading"/>
            <w:rPr>
              <w:rFonts w:ascii="Times New Roman" w:hAnsi="Times New Roman" w:cs="Times New Roman"/>
              <w:color w:val="auto"/>
              <w:sz w:val="24"/>
              <w:szCs w:val="24"/>
              <w:lang w:val="bg-BG"/>
            </w:rPr>
          </w:pPr>
          <w:r w:rsidRPr="006435AF">
            <w:rPr>
              <w:rFonts w:ascii="Times New Roman" w:hAnsi="Times New Roman" w:cs="Times New Roman"/>
              <w:color w:val="auto"/>
              <w:sz w:val="24"/>
              <w:szCs w:val="24"/>
              <w:lang w:val="bg-BG"/>
            </w:rPr>
            <w:t>Съдържание:</w:t>
          </w:r>
        </w:p>
        <w:p w:rsidR="004A7ED9" w:rsidRPr="00AF49E8" w:rsidRDefault="002053DF">
          <w:pPr>
            <w:pStyle w:val="TOC1"/>
            <w:rPr>
              <w:rFonts w:eastAsiaTheme="minorEastAsia"/>
              <w:noProof/>
              <w:lang w:val="en-GB" w:eastAsia="en-GB"/>
            </w:rPr>
          </w:pPr>
          <w:r w:rsidRPr="00595BA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95BA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95BA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11416828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1. Използвани съкращения: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_Toc211416828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3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29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2. Определения: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_Toc211416829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4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0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3. Основна цел, очаквани резултати и принос към специфичните цели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_Toc211416830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10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1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4. Териториален обхват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_Toc211416831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11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2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5. Бюджет и финансови условия, в т.ч. минимален и максимален размер на допустимите разходи за един проект и интензитет на финансовата помощ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_Toc211416832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11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3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6. Режим на държавна помощ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_Toc211416833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12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4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7. Допустими кандидати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_Toc211416834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12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5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8. Условия за допустимост на кандидатите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_Toc211416835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13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6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9. Условия за недопустимост на кандидатите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_Toc211416836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14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7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10. Допустими дейности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_Toc211416837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15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8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11. Условия за допустимост на дейностите, в т.ч. срок за изпълнение на одобрените заявления за подпомагане: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_Toc211416838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15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39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12. Допустими разходи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_Toc211416839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17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40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13. Условия за допустимост на разходите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_Toc211416840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18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41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14. Недопустими разходи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_Toc211416841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22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42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15. Критерии за подбор, в т.ч. извършване на предварителна оценка (ако е приложимо)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_Toc211416842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23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43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16. Изискуеми документи, в т.ч. документи, доказващи съответствие с критерии за подбор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_Toc211416843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26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44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17. Подготовка и подаване на заявления за подпомагане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_Toc211416844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29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Pr="00AF49E8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45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18. Други специфични условия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_Toc211416845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29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4A7ED9" w:rsidRDefault="00AF49E8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211416846" w:history="1">
            <w:r w:rsidR="004A7ED9" w:rsidRPr="00AF49E8">
              <w:rPr>
                <w:rStyle w:val="Hyperlink"/>
                <w:rFonts w:ascii="Times New Roman" w:hAnsi="Times New Roman" w:cs="Times New Roman"/>
                <w:noProof/>
              </w:rPr>
              <w:t>19. Приложения</w:t>
            </w:r>
            <w:r w:rsidR="004A7ED9" w:rsidRPr="00AF49E8">
              <w:rPr>
                <w:noProof/>
                <w:webHidden/>
              </w:rPr>
              <w:tab/>
            </w:r>
            <w:r w:rsidR="004A7ED9" w:rsidRPr="00AF49E8">
              <w:rPr>
                <w:noProof/>
                <w:webHidden/>
              </w:rPr>
              <w:fldChar w:fldCharType="begin"/>
            </w:r>
            <w:r w:rsidR="004A7ED9" w:rsidRPr="00AF49E8">
              <w:rPr>
                <w:noProof/>
                <w:webHidden/>
              </w:rPr>
              <w:instrText xml:space="preserve"> PAGEREF _Toc211416846 \h </w:instrText>
            </w:r>
            <w:r w:rsidR="004A7ED9" w:rsidRPr="00AF49E8">
              <w:rPr>
                <w:noProof/>
                <w:webHidden/>
              </w:rPr>
            </w:r>
            <w:r w:rsidR="004A7ED9" w:rsidRPr="00AF49E8">
              <w:rPr>
                <w:noProof/>
                <w:webHidden/>
              </w:rPr>
              <w:fldChar w:fldCharType="separate"/>
            </w:r>
            <w:r w:rsidR="00FB6378">
              <w:rPr>
                <w:noProof/>
                <w:webHidden/>
              </w:rPr>
              <w:t>30</w:t>
            </w:r>
            <w:r w:rsidR="004A7ED9" w:rsidRPr="00AF49E8">
              <w:rPr>
                <w:noProof/>
                <w:webHidden/>
              </w:rPr>
              <w:fldChar w:fldCharType="end"/>
            </w:r>
          </w:hyperlink>
        </w:p>
        <w:p w:rsidR="002053DF" w:rsidRPr="00595BAF" w:rsidRDefault="002053DF">
          <w:r w:rsidRPr="00595BAF">
            <w:rPr>
              <w:rFonts w:ascii="Times New Roman" w:hAnsi="Times New Roman"/>
              <w:bCs/>
              <w:noProof/>
              <w:sz w:val="24"/>
              <w:szCs w:val="24"/>
            </w:rPr>
            <w:fldChar w:fldCharType="end"/>
          </w:r>
        </w:p>
      </w:sdtContent>
    </w:sdt>
    <w:p w:rsidR="002053DF" w:rsidRPr="004F39ED" w:rsidRDefault="002053DF" w:rsidP="00CE1ADE">
      <w:pPr>
        <w:pStyle w:val="Heading1"/>
        <w:rPr>
          <w:rFonts w:ascii="Times New Roman" w:hAnsi="Times New Roman" w:cs="Times New Roman"/>
          <w:color w:val="1F4E79" w:themeColor="accent1" w:themeShade="80"/>
          <w:sz w:val="28"/>
          <w:szCs w:val="28"/>
        </w:rPr>
        <w:sectPr w:rsidR="002053DF" w:rsidRPr="004F39ED" w:rsidSect="00F5455A">
          <w:headerReference w:type="default" r:id="rId9"/>
          <w:footerReference w:type="default" r:id="rId10"/>
          <w:pgSz w:w="11906" w:h="16838"/>
          <w:pgMar w:top="1417" w:right="1106" w:bottom="1417" w:left="1417" w:header="708" w:footer="708" w:gutter="0"/>
          <w:cols w:space="708"/>
          <w:docGrid w:linePitch="360"/>
        </w:sectPr>
      </w:pPr>
    </w:p>
    <w:p w:rsidR="00CE1ADE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211416828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 </w:t>
      </w:r>
      <w:r w:rsidR="00F07187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Използвани съкращения</w:t>
      </w:r>
      <w:r w:rsidR="00177699" w:rsidRPr="004F39ED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7447"/>
      </w:tblGrid>
      <w:tr w:rsidR="00CE1ADE" w:rsidRPr="004F39ED" w:rsidTr="001C72D8">
        <w:tc>
          <w:tcPr>
            <w:tcW w:w="1615" w:type="dxa"/>
            <w:vAlign w:val="center"/>
          </w:tcPr>
          <w:p w:rsidR="00CE1ADE" w:rsidRPr="004F39ED" w:rsidRDefault="00551366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БФП</w:t>
            </w:r>
          </w:p>
        </w:tc>
        <w:tc>
          <w:tcPr>
            <w:tcW w:w="7447" w:type="dxa"/>
          </w:tcPr>
          <w:p w:rsidR="00CE1ADE" w:rsidRPr="004F39ED" w:rsidRDefault="00551366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Безвъзмездна финансова помощ</w:t>
            </w:r>
          </w:p>
        </w:tc>
      </w:tr>
      <w:tr w:rsidR="00D44C74" w:rsidRPr="004F39ED" w:rsidTr="001C72D8">
        <w:tc>
          <w:tcPr>
            <w:tcW w:w="1615" w:type="dxa"/>
            <w:vAlign w:val="center"/>
          </w:tcPr>
          <w:p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ДДС</w:t>
            </w:r>
          </w:p>
        </w:tc>
        <w:tc>
          <w:tcPr>
            <w:tcW w:w="7447" w:type="dxa"/>
          </w:tcPr>
          <w:p w:rsidR="00D44C74" w:rsidRPr="004F39ED" w:rsidRDefault="00D44C74" w:rsidP="00D44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Данък добавена стойност </w:t>
            </w:r>
          </w:p>
        </w:tc>
      </w:tr>
      <w:tr w:rsidR="00D44C74" w:rsidRPr="004F39ED" w:rsidTr="001C72D8">
        <w:tc>
          <w:tcPr>
            <w:tcW w:w="1615" w:type="dxa"/>
            <w:vAlign w:val="center"/>
          </w:tcPr>
          <w:p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ДФЕС</w:t>
            </w:r>
          </w:p>
        </w:tc>
        <w:tc>
          <w:tcPr>
            <w:tcW w:w="7447" w:type="dxa"/>
          </w:tcPr>
          <w:p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Договора за функциониране на Европейския съюз </w:t>
            </w:r>
          </w:p>
        </w:tc>
      </w:tr>
      <w:tr w:rsidR="00D44C74" w:rsidRPr="004F39ED" w:rsidTr="001C72D8">
        <w:tc>
          <w:tcPr>
            <w:tcW w:w="1615" w:type="dxa"/>
            <w:vAlign w:val="center"/>
          </w:tcPr>
          <w:p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ЗОП</w:t>
            </w:r>
          </w:p>
        </w:tc>
        <w:tc>
          <w:tcPr>
            <w:tcW w:w="7447" w:type="dxa"/>
          </w:tcPr>
          <w:p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Закон за обществените поръчки</w:t>
            </w:r>
          </w:p>
        </w:tc>
      </w:tr>
      <w:tr w:rsidR="00D1108F" w:rsidRPr="004F39ED" w:rsidTr="001C72D8">
        <w:tc>
          <w:tcPr>
            <w:tcW w:w="1615" w:type="dxa"/>
            <w:vAlign w:val="center"/>
          </w:tcPr>
          <w:p w:rsidR="00D1108F" w:rsidRPr="00AA3C90" w:rsidRDefault="00D1108F" w:rsidP="002859A7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7447" w:type="dxa"/>
          </w:tcPr>
          <w:p w:rsidR="00D1108F" w:rsidRPr="00AA3C90" w:rsidRDefault="00D1108F" w:rsidP="00F0718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CE1ADE" w:rsidRPr="004F39ED" w:rsidTr="001C72D8">
        <w:tc>
          <w:tcPr>
            <w:tcW w:w="1615" w:type="dxa"/>
            <w:vAlign w:val="center"/>
          </w:tcPr>
          <w:p w:rsidR="00CE1ADE" w:rsidRPr="004F39ED" w:rsidRDefault="000D4542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СЕУ</w:t>
            </w:r>
          </w:p>
        </w:tc>
        <w:tc>
          <w:tcPr>
            <w:tcW w:w="7447" w:type="dxa"/>
          </w:tcPr>
          <w:p w:rsidR="00CE1ADE" w:rsidRPr="004F39ED" w:rsidRDefault="000D4542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Система за електронни услуги</w:t>
            </w:r>
          </w:p>
        </w:tc>
      </w:tr>
      <w:tr w:rsidR="00F07187" w:rsidRPr="004F39ED" w:rsidTr="001C72D8">
        <w:tc>
          <w:tcPr>
            <w:tcW w:w="1615" w:type="dxa"/>
            <w:vAlign w:val="center"/>
          </w:tcPr>
          <w:p w:rsidR="00F07187" w:rsidRPr="004F39ED" w:rsidRDefault="00FB62DA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ДФЗ</w:t>
            </w:r>
          </w:p>
        </w:tc>
        <w:tc>
          <w:tcPr>
            <w:tcW w:w="7447" w:type="dxa"/>
          </w:tcPr>
          <w:p w:rsidR="00F07187" w:rsidRPr="004F39ED" w:rsidRDefault="00FB62DA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Държавен Фонд „Земеделие“</w:t>
            </w:r>
          </w:p>
        </w:tc>
      </w:tr>
      <w:tr w:rsidR="00D44C74" w:rsidRPr="004F39ED" w:rsidTr="001C72D8">
        <w:tc>
          <w:tcPr>
            <w:tcW w:w="1615" w:type="dxa"/>
            <w:vAlign w:val="center"/>
          </w:tcPr>
          <w:p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КЕП</w:t>
            </w:r>
          </w:p>
        </w:tc>
        <w:tc>
          <w:tcPr>
            <w:tcW w:w="7447" w:type="dxa"/>
          </w:tcPr>
          <w:p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Квалифициран електронен подпис</w:t>
            </w:r>
          </w:p>
        </w:tc>
      </w:tr>
      <w:tr w:rsidR="00F07187" w:rsidRPr="004F39ED" w:rsidTr="001C72D8">
        <w:tc>
          <w:tcPr>
            <w:tcW w:w="1615" w:type="dxa"/>
            <w:vAlign w:val="center"/>
          </w:tcPr>
          <w:p w:rsidR="00F07187" w:rsidRPr="004F39ED" w:rsidRDefault="00FB62DA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МЗХ</w:t>
            </w:r>
          </w:p>
        </w:tc>
        <w:tc>
          <w:tcPr>
            <w:tcW w:w="7447" w:type="dxa"/>
          </w:tcPr>
          <w:p w:rsidR="00F07187" w:rsidRPr="004F39ED" w:rsidRDefault="00FB62DA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Министерство на земеделието и храните</w:t>
            </w:r>
          </w:p>
        </w:tc>
      </w:tr>
      <w:tr w:rsidR="00D44C74" w:rsidRPr="004F39ED" w:rsidTr="001C72D8">
        <w:tc>
          <w:tcPr>
            <w:tcW w:w="1615" w:type="dxa"/>
            <w:vAlign w:val="center"/>
          </w:tcPr>
          <w:p w:rsidR="00D44C74" w:rsidRPr="004F39ED" w:rsidRDefault="00D44C7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НССЗ</w:t>
            </w:r>
          </w:p>
        </w:tc>
        <w:tc>
          <w:tcPr>
            <w:tcW w:w="7447" w:type="dxa"/>
          </w:tcPr>
          <w:p w:rsidR="00D44C74" w:rsidRPr="004F39ED" w:rsidRDefault="00D44C7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Национална служба за съвети в земеделието</w:t>
            </w:r>
          </w:p>
        </w:tc>
      </w:tr>
      <w:tr w:rsidR="00F07187" w:rsidRPr="004F39ED" w:rsidTr="001C72D8">
        <w:tc>
          <w:tcPr>
            <w:tcW w:w="1615" w:type="dxa"/>
            <w:vAlign w:val="center"/>
          </w:tcPr>
          <w:p w:rsidR="00F07187" w:rsidRPr="004F39ED" w:rsidRDefault="00FB62DA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ЕПИ</w:t>
            </w:r>
            <w:r w:rsidR="00A9716C">
              <w:rPr>
                <w:rFonts w:ascii="Times New Roman" w:hAnsi="Times New Roman"/>
                <w:sz w:val="24"/>
                <w:szCs w:val="24"/>
              </w:rPr>
              <w:t>-АГРИ</w:t>
            </w:r>
          </w:p>
        </w:tc>
        <w:tc>
          <w:tcPr>
            <w:tcW w:w="7447" w:type="dxa"/>
          </w:tcPr>
          <w:p w:rsidR="00F07187" w:rsidRPr="004F39ED" w:rsidRDefault="00FB62DA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Европейското партньорство за иновации за селскостопанска производителност и устойчивост</w:t>
            </w:r>
          </w:p>
        </w:tc>
      </w:tr>
      <w:tr w:rsidR="00FB62DA" w:rsidRPr="004F39ED" w:rsidTr="001C72D8">
        <w:tc>
          <w:tcPr>
            <w:tcW w:w="1615" w:type="dxa"/>
            <w:vAlign w:val="center"/>
          </w:tcPr>
          <w:p w:rsidR="00FB62DA" w:rsidRPr="004F39ED" w:rsidRDefault="00E468A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ЕС</w:t>
            </w:r>
          </w:p>
        </w:tc>
        <w:tc>
          <w:tcPr>
            <w:tcW w:w="7447" w:type="dxa"/>
          </w:tcPr>
          <w:p w:rsidR="00FB62DA" w:rsidRPr="004F39ED" w:rsidRDefault="00E468A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Европейски съюз</w:t>
            </w:r>
          </w:p>
        </w:tc>
      </w:tr>
      <w:tr w:rsidR="00FB62DA" w:rsidRPr="004F39ED" w:rsidTr="001C72D8">
        <w:tc>
          <w:tcPr>
            <w:tcW w:w="1615" w:type="dxa"/>
            <w:vAlign w:val="center"/>
          </w:tcPr>
          <w:p w:rsidR="00FB62DA" w:rsidRPr="004F39ED" w:rsidRDefault="00E468A4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ОСП</w:t>
            </w:r>
          </w:p>
        </w:tc>
        <w:tc>
          <w:tcPr>
            <w:tcW w:w="7447" w:type="dxa"/>
          </w:tcPr>
          <w:p w:rsidR="00FB62DA" w:rsidRPr="004F39ED" w:rsidRDefault="00E468A4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Обща селскостопанска политика</w:t>
            </w:r>
          </w:p>
        </w:tc>
      </w:tr>
      <w:tr w:rsidR="00284269" w:rsidRPr="004F39ED" w:rsidTr="001C72D8">
        <w:tc>
          <w:tcPr>
            <w:tcW w:w="1615" w:type="dxa"/>
            <w:vAlign w:val="center"/>
          </w:tcPr>
          <w:p w:rsidR="00284269" w:rsidRPr="004F39ED" w:rsidRDefault="00284269" w:rsidP="00285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ПРСР</w:t>
            </w:r>
          </w:p>
        </w:tc>
        <w:tc>
          <w:tcPr>
            <w:tcW w:w="7447" w:type="dxa"/>
          </w:tcPr>
          <w:p w:rsidR="00284269" w:rsidRPr="004F39ED" w:rsidRDefault="00284269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– 2020 г.</w:t>
            </w:r>
          </w:p>
        </w:tc>
      </w:tr>
      <w:tr w:rsidR="00E468A4" w:rsidRPr="004F39ED" w:rsidTr="001C72D8">
        <w:tc>
          <w:tcPr>
            <w:tcW w:w="1615" w:type="dxa"/>
            <w:vAlign w:val="center"/>
          </w:tcPr>
          <w:p w:rsidR="00E468A4" w:rsidRPr="004F39ED" w:rsidRDefault="00771598" w:rsidP="007715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bCs/>
                <w:sz w:val="24"/>
                <w:szCs w:val="24"/>
              </w:rPr>
              <w:t xml:space="preserve">СПРЗСР </w:t>
            </w:r>
          </w:p>
        </w:tc>
        <w:tc>
          <w:tcPr>
            <w:tcW w:w="7447" w:type="dxa"/>
          </w:tcPr>
          <w:p w:rsidR="00E468A4" w:rsidRPr="004F39ED" w:rsidRDefault="00771598" w:rsidP="00F071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Стратегически план за развитие на земеделието и селските райони на Република България за периода 2023-2027 г.</w:t>
            </w:r>
          </w:p>
        </w:tc>
      </w:tr>
      <w:tr w:rsidR="001C72D8" w:rsidRPr="004F39ED" w:rsidTr="001C72D8">
        <w:tc>
          <w:tcPr>
            <w:tcW w:w="1615" w:type="dxa"/>
            <w:vAlign w:val="center"/>
          </w:tcPr>
          <w:p w:rsidR="001C72D8" w:rsidRPr="004F39ED" w:rsidRDefault="001C72D8" w:rsidP="007715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39ED">
              <w:rPr>
                <w:rFonts w:ascii="Times New Roman" w:hAnsi="Times New Roman"/>
                <w:bCs/>
                <w:sz w:val="24"/>
                <w:szCs w:val="24"/>
              </w:rPr>
              <w:t>Наредба № 4 от 25 октомври 2024 г.</w:t>
            </w:r>
          </w:p>
        </w:tc>
        <w:tc>
          <w:tcPr>
            <w:tcW w:w="7447" w:type="dxa"/>
          </w:tcPr>
          <w:p w:rsidR="001C72D8" w:rsidRPr="004F39ED" w:rsidRDefault="001C72D8" w:rsidP="009D49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Наредба № 4 от 25 октомври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 – 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</w:t>
            </w:r>
            <w:r w:rsidR="009D49AB" w:rsidRPr="004F3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859A7" w:rsidRPr="004F39ED" w:rsidRDefault="002859A7" w:rsidP="00177699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  <w:sectPr w:rsidR="002859A7" w:rsidRPr="004F39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77699" w:rsidRPr="004F39ED" w:rsidRDefault="00CA4E27" w:rsidP="00177699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211416829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2. </w:t>
      </w:r>
      <w:r w:rsidR="00177699" w:rsidRPr="004F39ED">
        <w:rPr>
          <w:rFonts w:ascii="Times New Roman" w:hAnsi="Times New Roman" w:cs="Times New Roman"/>
          <w:b/>
          <w:color w:val="auto"/>
          <w:sz w:val="28"/>
          <w:szCs w:val="28"/>
        </w:rPr>
        <w:t>Определения: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9"/>
        <w:gridCol w:w="4923"/>
      </w:tblGrid>
      <w:tr w:rsidR="00273B54" w:rsidRPr="004F39ED" w:rsidTr="00934F95">
        <w:tc>
          <w:tcPr>
            <w:tcW w:w="3114" w:type="dxa"/>
            <w:vAlign w:val="center"/>
          </w:tcPr>
          <w:p w:rsidR="00273B54" w:rsidRDefault="00273B54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Браншова организация за производство и преработка на селскостопански продукти</w:t>
            </w:r>
          </w:p>
        </w:tc>
        <w:tc>
          <w:tcPr>
            <w:tcW w:w="5948" w:type="dxa"/>
          </w:tcPr>
          <w:p w:rsidR="00273B54" w:rsidRDefault="00273B54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16F">
              <w:rPr>
                <w:rFonts w:ascii="Times New Roman" w:hAnsi="Times New Roman"/>
                <w:sz w:val="24"/>
                <w:szCs w:val="24"/>
                <w:lang w:val="bg-BG"/>
              </w:rPr>
              <w:t>За целите на процедурата се приема, че „Браншова организация за производство и преработка на селскостопански продукти“ е юридическо лице, учредено и регистрирано по реда на Закона за кооперациите или Закона за юридическите лица с нестопанска цел, което подпомага, насърчава,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интерес. Браншовата</w:t>
            </w:r>
            <w:r w:rsidRPr="00273B54">
              <w:rPr>
                <w:rFonts w:ascii="Times New Roman" w:hAnsi="Times New Roman"/>
                <w:sz w:val="24"/>
                <w:szCs w:val="24"/>
              </w:rPr>
              <w:t xml:space="preserve"> организация е вписана като такава в устава и в търговския регистър и регистъра на юридическите лица с нестопанска цел или друг публичен регистър.</w:t>
            </w:r>
          </w:p>
        </w:tc>
      </w:tr>
      <w:tr w:rsidR="00AA3C90" w:rsidRPr="004F39ED" w:rsidTr="00934F95">
        <w:tc>
          <w:tcPr>
            <w:tcW w:w="3114" w:type="dxa"/>
            <w:vAlign w:val="center"/>
          </w:tcPr>
          <w:p w:rsidR="00AA3C90" w:rsidRDefault="00AA3C90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  <w:lang w:val="bg-BG"/>
              </w:rPr>
              <w:t>Екосистемните услуги</w:t>
            </w:r>
          </w:p>
        </w:tc>
        <w:tc>
          <w:tcPr>
            <w:tcW w:w="5948" w:type="dxa"/>
          </w:tcPr>
          <w:p w:rsidR="00AA3C90" w:rsidRPr="00AA3C90" w:rsidRDefault="00AA3C90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Екосистемни услуги </w:t>
            </w:r>
            <w:r w:rsidRPr="00AA3C90">
              <w:rPr>
                <w:rFonts w:ascii="Times New Roman" w:hAnsi="Times New Roman"/>
                <w:sz w:val="24"/>
                <w:szCs w:val="24"/>
                <w:lang w:val="bg-BG"/>
              </w:rPr>
              <w:t>са услугите, които осигурява дадена екосистема и от които зависят хората.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Екосистемните услуги, от които се ползват хората, често се категоризират, както следва: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материални услуги, като храна, вода, дървен материал, влакна и генетични ресурси;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регулиращи услуги, като регулиране на климата, наводненията, заболяванията и качеството на водите;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културни услуги, като отдих и екотуризъм;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поддържащи услуги, като почвообразуване, опрашване и кръговрат на хранителните вещества.</w:t>
            </w:r>
          </w:p>
        </w:tc>
      </w:tr>
      <w:tr w:rsidR="00177699" w:rsidRPr="004F39ED" w:rsidTr="00934F95">
        <w:tc>
          <w:tcPr>
            <w:tcW w:w="3114" w:type="dxa"/>
            <w:vAlign w:val="center"/>
          </w:tcPr>
          <w:p w:rsidR="00177699" w:rsidRPr="00FF727D" w:rsidRDefault="001E0182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Оперативна</w:t>
            </w:r>
            <w:r w:rsidR="002E759A"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група</w:t>
            </w:r>
          </w:p>
        </w:tc>
        <w:tc>
          <w:tcPr>
            <w:tcW w:w="5948" w:type="dxa"/>
          </w:tcPr>
          <w:p w:rsidR="00177699" w:rsidRPr="004F39ED" w:rsidRDefault="00EE2ECC" w:rsidP="00B358D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86A">
              <w:rPr>
                <w:rFonts w:ascii="Times New Roman" w:hAnsi="Times New Roman"/>
                <w:sz w:val="24"/>
                <w:szCs w:val="24"/>
              </w:rPr>
              <w:t xml:space="preserve">Оперативната група за постигането на целите на Европейското партньорство за иновации (ЕПИ) е група от хора с допълващи се знания (напр. практически, научни, технически, организационни познания и т.н.), които съвместно създават практически решения за селското стопанство, горското стопанство и селските общности в </w:t>
            </w:r>
            <w:r w:rsidR="00B358DD"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</w:t>
            </w:r>
            <w:r w:rsidR="00B358DD" w:rsidRPr="007D3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386A">
              <w:rPr>
                <w:rFonts w:ascii="Times New Roman" w:hAnsi="Times New Roman"/>
                <w:sz w:val="24"/>
                <w:szCs w:val="24"/>
              </w:rPr>
              <w:t>проект.</w:t>
            </w:r>
          </w:p>
        </w:tc>
      </w:tr>
      <w:tr w:rsidR="00177699" w:rsidRPr="004F39ED" w:rsidTr="00934F95">
        <w:tc>
          <w:tcPr>
            <w:tcW w:w="3114" w:type="dxa"/>
            <w:vAlign w:val="center"/>
          </w:tcPr>
          <w:p w:rsidR="00177699" w:rsidRPr="00E738B3" w:rsidRDefault="00FA32BB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</w:pPr>
            <w:r w:rsidRPr="00E738B3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Новаторски проект</w:t>
            </w:r>
          </w:p>
        </w:tc>
        <w:tc>
          <w:tcPr>
            <w:tcW w:w="5948" w:type="dxa"/>
          </w:tcPr>
          <w:p w:rsidR="00E738B3" w:rsidRPr="00054A89" w:rsidRDefault="00E738B3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Новаторският проект в рамките на интервенцията се основава на интерактивния иновационен модел, който има за основни принципи:</w:t>
            </w:r>
          </w:p>
          <w:p w:rsidR="00E738B3" w:rsidRPr="00054A89" w:rsidRDefault="00E738B3" w:rsidP="00DF43F2">
            <w:pPr>
              <w:pStyle w:val="ListParagraph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 xml:space="preserve">разработване на новаторски решения, насочени към потребностите на </w:t>
            </w:r>
            <w:r w:rsidRPr="00054A89">
              <w:rPr>
                <w:rFonts w:ascii="Times New Roman" w:hAnsi="Times New Roman"/>
                <w:sz w:val="24"/>
                <w:szCs w:val="24"/>
              </w:rPr>
              <w:lastRenderedPageBreak/>
              <w:t>земеделските или горските стопани, като същевременно се работи по взаимодействието в рамките на цялата верига на доставки, когато това е полезно;</w:t>
            </w:r>
          </w:p>
          <w:p w:rsidR="00E738B3" w:rsidRPr="00054A89" w:rsidRDefault="00E738B3" w:rsidP="00DF43F2">
            <w:pPr>
              <w:pStyle w:val="ListParagraph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обединяване на партньори с взаимно допълващи се знания като например земеделски стопани, консултанти, научни работници, предприятия или неправителствени организации, в целенасочени комбинации, най-подходящи за постигане на целите по проекта;</w:t>
            </w:r>
          </w:p>
          <w:p w:rsidR="00054A89" w:rsidRDefault="00E738B3" w:rsidP="00DF43F2">
            <w:pPr>
              <w:pStyle w:val="ListParagraph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съвместно вземане на решения и съвместно творческо участие в стъпките на проекта.</w:t>
            </w:r>
          </w:p>
          <w:p w:rsidR="00E23337" w:rsidRPr="00054A89" w:rsidRDefault="00E23337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</w:rPr>
              <w:t>За новаторски проект се приема и прилагането на традиционна практика в нов географски или екологичен контекст.</w:t>
            </w:r>
          </w:p>
        </w:tc>
      </w:tr>
      <w:tr w:rsidR="00D835AD" w:rsidRPr="004F39ED" w:rsidTr="00934F95">
        <w:tc>
          <w:tcPr>
            <w:tcW w:w="3114" w:type="dxa"/>
            <w:vAlign w:val="center"/>
          </w:tcPr>
          <w:p w:rsidR="00D835AD" w:rsidRPr="00E738B3" w:rsidRDefault="00D835AD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Независими оферти</w:t>
            </w:r>
          </w:p>
        </w:tc>
        <w:tc>
          <w:tcPr>
            <w:tcW w:w="5948" w:type="dxa"/>
          </w:tcPr>
          <w:p w:rsidR="00D835AD" w:rsidRPr="002D2840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Оферти, подадени от лица, които не се намират в следната свързаност помежду си или спрямо кандидата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или партньора/партньорите</w:t>
            </w: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: </w:t>
            </w:r>
          </w:p>
          <w:p w:rsidR="00D835AD" w:rsidRPr="002D2840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а) едното участва в управлението на дружеството на другото;</w:t>
            </w:r>
          </w:p>
          <w:p w:rsidR="00D835AD" w:rsidRPr="002D2840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б) съдружници;</w:t>
            </w:r>
          </w:p>
          <w:p w:rsidR="00D835AD" w:rsidRPr="002D2840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в) съвместно контролират пряко трето лице;</w:t>
            </w:r>
          </w:p>
          <w:p w:rsidR="00D835AD" w:rsidRPr="002D2840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г) участват пряко в управлението или капитала на друго лице, поради което между тях могат да се уговарят условия, различни от обичайните;</w:t>
            </w:r>
          </w:p>
          <w:p w:rsidR="00D835AD" w:rsidRPr="002D2840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д) едното лице притежава повече от половината от броя на гласовете в общото събрание на другото лице;</w:t>
            </w:r>
          </w:p>
          <w:p w:rsidR="00D835AD" w:rsidRPr="002D2840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е) лицата, чиято дейност се контролира пряко или косвено от трето лице – физическо или юридическо;</w:t>
            </w:r>
          </w:p>
          <w:p w:rsidR="00D835AD" w:rsidRPr="00E738B3" w:rsidRDefault="00D835AD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84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ж) лицата, едното от които е търговски представител на другото.</w:t>
            </w:r>
          </w:p>
        </w:tc>
      </w:tr>
      <w:tr w:rsidR="009177BD" w:rsidRPr="009177BD" w:rsidTr="00206096">
        <w:tc>
          <w:tcPr>
            <w:tcW w:w="3114" w:type="dxa"/>
            <w:vAlign w:val="center"/>
          </w:tcPr>
          <w:p w:rsidR="009177BD" w:rsidRPr="004F39ED" w:rsidRDefault="009177BD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Земеделски стопанин </w:t>
            </w:r>
          </w:p>
        </w:tc>
        <w:tc>
          <w:tcPr>
            <w:tcW w:w="5948" w:type="dxa"/>
          </w:tcPr>
          <w:p w:rsidR="009177BD" w:rsidRPr="00FF727D" w:rsidRDefault="009177BD" w:rsidP="00DF43F2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Стопанин по смисъла на чл. 3, т. 1 от Регламент (ЕС) № 2021/2115.</w:t>
            </w:r>
          </w:p>
        </w:tc>
      </w:tr>
      <w:tr w:rsidR="009177BD" w:rsidRPr="009177BD" w:rsidTr="00206096">
        <w:tc>
          <w:tcPr>
            <w:tcW w:w="3114" w:type="dxa"/>
            <w:vAlign w:val="center"/>
          </w:tcPr>
          <w:p w:rsidR="009177BD" w:rsidRPr="004F39ED" w:rsidRDefault="009177BD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Земеделско стопанство</w:t>
            </w:r>
          </w:p>
        </w:tc>
        <w:tc>
          <w:tcPr>
            <w:tcW w:w="5948" w:type="dxa"/>
          </w:tcPr>
          <w:p w:rsidR="009177BD" w:rsidRPr="00FF727D" w:rsidRDefault="009177BD" w:rsidP="00DF43F2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Стопанство по смисъла на чл. 3, т. 2, от Регламент (ЕС) № 2021/2115.</w:t>
            </w:r>
          </w:p>
        </w:tc>
      </w:tr>
      <w:tr w:rsidR="00D835AD" w:rsidRPr="009177BD" w:rsidTr="00206096">
        <w:tc>
          <w:tcPr>
            <w:tcW w:w="3114" w:type="dxa"/>
            <w:shd w:val="clear" w:color="auto" w:fill="auto"/>
            <w:vAlign w:val="center"/>
          </w:tcPr>
          <w:p w:rsidR="00D835AD" w:rsidRPr="00D835AD" w:rsidRDefault="00D835AD" w:rsidP="00DF43F2">
            <w:pPr>
              <w:contextualSpacing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Земеделски площи</w:t>
            </w:r>
          </w:p>
        </w:tc>
        <w:tc>
          <w:tcPr>
            <w:tcW w:w="5948" w:type="dxa"/>
            <w:shd w:val="clear" w:color="auto" w:fill="auto"/>
          </w:tcPr>
          <w:p w:rsidR="00D835AD" w:rsidRPr="00FF727D" w:rsidRDefault="00D835AD" w:rsidP="00DF43F2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35028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</w:t>
            </w:r>
            <w:r w:rsidRPr="0072538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бработваемата земя (включително оставена като угар), постоянно затревените площи, трайните насаждения и семейните градини независимо дали се използват за производство на земеделска продукция.</w:t>
            </w:r>
          </w:p>
        </w:tc>
      </w:tr>
      <w:tr w:rsidR="00177699" w:rsidRPr="004F39ED" w:rsidTr="00934F95">
        <w:tc>
          <w:tcPr>
            <w:tcW w:w="3114" w:type="dxa"/>
            <w:vAlign w:val="center"/>
          </w:tcPr>
          <w:p w:rsidR="00177699" w:rsidRPr="00FF727D" w:rsidRDefault="00102904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727D">
              <w:rPr>
                <w:rFonts w:ascii="Times New Roman" w:hAnsi="Times New Roman"/>
                <w:sz w:val="24"/>
                <w:szCs w:val="24"/>
              </w:rPr>
              <w:lastRenderedPageBreak/>
              <w:t>AKIS</w:t>
            </w:r>
          </w:p>
        </w:tc>
        <w:tc>
          <w:tcPr>
            <w:tcW w:w="5948" w:type="dxa"/>
          </w:tcPr>
          <w:p w:rsidR="00177699" w:rsidRPr="004F39ED" w:rsidRDefault="00102904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86A">
              <w:rPr>
                <w:rFonts w:ascii="Times New Roman" w:hAnsi="Times New Roman"/>
                <w:sz w:val="24"/>
                <w:szCs w:val="24"/>
              </w:rPr>
              <w:t>Означава комбинацията от организацията и обмена на знания между лицата, организациите и институциите, които използват и генерират знания в сферата на селското стопанство и взаимосвързаните области (</w:t>
            </w:r>
            <w:r w:rsidR="00F875BD" w:rsidRPr="00627E59">
              <w:rPr>
                <w:rFonts w:ascii="Times New Roman" w:hAnsi="Times New Roman"/>
                <w:sz w:val="24"/>
                <w:szCs w:val="24"/>
              </w:rPr>
              <w:t xml:space="preserve">Agricultural knowledge and innovation system </w:t>
            </w:r>
            <w:r w:rsidR="00F875BD" w:rsidRPr="00FF72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875BD" w:rsidRPr="007D386A">
              <w:rPr>
                <w:rFonts w:ascii="Times New Roman" w:hAnsi="Times New Roman"/>
                <w:sz w:val="24"/>
                <w:szCs w:val="24"/>
              </w:rPr>
              <w:t>С</w:t>
            </w:r>
            <w:r w:rsidRPr="007D386A">
              <w:rPr>
                <w:rFonts w:ascii="Times New Roman" w:hAnsi="Times New Roman"/>
                <w:sz w:val="24"/>
                <w:szCs w:val="24"/>
              </w:rPr>
              <w:t>истема за знания и иновации в селското стопанство)</w:t>
            </w:r>
          </w:p>
        </w:tc>
      </w:tr>
      <w:tr w:rsidR="00B5695D" w:rsidRPr="004F39ED" w:rsidTr="00934F95">
        <w:tc>
          <w:tcPr>
            <w:tcW w:w="3114" w:type="dxa"/>
            <w:vAlign w:val="center"/>
          </w:tcPr>
          <w:p w:rsidR="00B5695D" w:rsidRPr="004F39ED" w:rsidRDefault="00B5695D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Помощ, предоставена в рамките на стратегически план по ОСП</w:t>
            </w:r>
          </w:p>
        </w:tc>
        <w:tc>
          <w:tcPr>
            <w:tcW w:w="5948" w:type="dxa"/>
          </w:tcPr>
          <w:p w:rsidR="00B5695D" w:rsidRPr="004F39ED" w:rsidRDefault="007779E4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</w:t>
            </w:r>
            <w:r w:rsidR="00B5695D" w:rsidRPr="004F39ED">
              <w:rPr>
                <w:rFonts w:ascii="Times New Roman" w:hAnsi="Times New Roman"/>
                <w:sz w:val="24"/>
                <w:szCs w:val="24"/>
              </w:rPr>
              <w:t>значава подкрепа, предоставена в съответствие с Регламент (ЕС) 2021/2115 като помощ, съфинансирана от ЕЗФРСР, или като допълнително национално финансиране към такава съфинансирана помощ</w:t>
            </w:r>
          </w:p>
        </w:tc>
      </w:tr>
      <w:tr w:rsidR="00D835AD" w:rsidRPr="004F39ED" w:rsidTr="00AA3C90">
        <w:tc>
          <w:tcPr>
            <w:tcW w:w="3114" w:type="dxa"/>
            <w:shd w:val="clear" w:color="auto" w:fill="auto"/>
            <w:vAlign w:val="center"/>
          </w:tcPr>
          <w:p w:rsidR="00D835AD" w:rsidRPr="00633548" w:rsidRDefault="00D835AD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Посевен материал</w:t>
            </w:r>
          </w:p>
        </w:tc>
        <w:tc>
          <w:tcPr>
            <w:tcW w:w="5948" w:type="dxa"/>
            <w:shd w:val="clear" w:color="auto" w:fill="auto"/>
          </w:tcPr>
          <w:p w:rsidR="00D835AD" w:rsidRPr="00D835AD" w:rsidRDefault="00D835AD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Семена, плодове, съплодия или техни части за посев, с изключение на горски репродуктивен материал, предназначен за лесовъдски цели.</w:t>
            </w:r>
          </w:p>
        </w:tc>
      </w:tr>
      <w:tr w:rsidR="00B5695D" w:rsidRPr="004F39ED" w:rsidTr="00934F95">
        <w:tc>
          <w:tcPr>
            <w:tcW w:w="3114" w:type="dxa"/>
            <w:vAlign w:val="center"/>
          </w:tcPr>
          <w:p w:rsidR="00B5695D" w:rsidRPr="004F39ED" w:rsidRDefault="00B5695D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Интензитет на помощ</w:t>
            </w:r>
          </w:p>
        </w:tc>
        <w:tc>
          <w:tcPr>
            <w:tcW w:w="5948" w:type="dxa"/>
          </w:tcPr>
          <w:p w:rsidR="00B5695D" w:rsidRPr="004F39ED" w:rsidRDefault="00B5695D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„</w:t>
            </w:r>
            <w:r w:rsidR="00A74E8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нтензитет н</w:t>
            </w:r>
            <w:r w:rsidR="00054A89">
              <w:rPr>
                <w:rFonts w:ascii="Times New Roman" w:hAnsi="Times New Roman"/>
                <w:sz w:val="24"/>
                <w:szCs w:val="24"/>
              </w:rPr>
              <w:t>а помощ</w:t>
            </w:r>
            <w:proofErr w:type="gramStart"/>
            <w:r w:rsidR="00054A89">
              <w:rPr>
                <w:rFonts w:ascii="Times New Roman" w:hAnsi="Times New Roman"/>
                <w:sz w:val="24"/>
                <w:szCs w:val="24"/>
              </w:rPr>
              <w:t>“</w:t>
            </w:r>
            <w:r w:rsid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означава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брутния размер на помощта, изразен като процент от допустимите разходи преди приспадането на данъци или други такси</w:t>
            </w:r>
            <w:r w:rsidR="008877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5ADB" w:rsidRPr="004F39ED" w:rsidTr="00934F95">
        <w:tc>
          <w:tcPr>
            <w:tcW w:w="3114" w:type="dxa"/>
            <w:vAlign w:val="center"/>
          </w:tcPr>
          <w:p w:rsidR="00A55ADB" w:rsidRPr="00AA3C90" w:rsidRDefault="00A55ADB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Първа стъпка </w:t>
            </w:r>
          </w:p>
        </w:tc>
        <w:tc>
          <w:tcPr>
            <w:tcW w:w="5948" w:type="dxa"/>
          </w:tcPr>
          <w:p w:rsidR="00A55ADB" w:rsidRPr="00AA3C90" w:rsidRDefault="00A55ADB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Помощ за сформиране на оперативни групи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предоставена по интервенция </w:t>
            </w:r>
            <w:r>
              <w:rPr>
                <w:rFonts w:ascii="Times New Roman" w:hAnsi="Times New Roman"/>
                <w:sz w:val="24"/>
                <w:szCs w:val="24"/>
              </w:rPr>
              <w:t>II.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Ж.1 „</w:t>
            </w:r>
            <w:r w:rsidRPr="00A55ADB">
              <w:rPr>
                <w:rFonts w:ascii="Times New Roman" w:hAnsi="Times New Roman"/>
                <w:sz w:val="24"/>
                <w:szCs w:val="24"/>
                <w:lang w:val="bg-BG"/>
              </w:rPr>
              <w:t>Подкрепа за оперативни групи в рамките на Европейското партньорство за иновации“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A55ADB">
              <w:rPr>
                <w:rFonts w:ascii="Times New Roman" w:hAnsi="Times New Roman"/>
                <w:sz w:val="24"/>
                <w:szCs w:val="24"/>
                <w:lang w:val="bg-BG"/>
              </w:rPr>
              <w:t>от СПРЗСР 2023 – 2027 г.</w:t>
            </w:r>
          </w:p>
        </w:tc>
      </w:tr>
      <w:tr w:rsidR="008B7C73" w:rsidRPr="004F39ED" w:rsidTr="00934F95">
        <w:tc>
          <w:tcPr>
            <w:tcW w:w="3114" w:type="dxa"/>
            <w:vAlign w:val="center"/>
          </w:tcPr>
          <w:p w:rsidR="008B7C73" w:rsidRPr="004F39ED" w:rsidRDefault="008B7C73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Първично селскостопанско производство</w:t>
            </w:r>
          </w:p>
        </w:tc>
        <w:tc>
          <w:tcPr>
            <w:tcW w:w="5948" w:type="dxa"/>
          </w:tcPr>
          <w:p w:rsidR="008B7C73" w:rsidRPr="004F39ED" w:rsidRDefault="007779E4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О</w:t>
            </w:r>
            <w:r w:rsidR="008B7C73" w:rsidRPr="004F39ED">
              <w:rPr>
                <w:rFonts w:ascii="Times New Roman" w:hAnsi="Times New Roman"/>
                <w:sz w:val="24"/>
                <w:szCs w:val="24"/>
              </w:rPr>
              <w:t>значава</w:t>
            </w:r>
            <w:r w:rsidR="00054A89">
              <w:rPr>
                <w:rFonts w:ascii="Times New Roman" w:hAnsi="Times New Roman"/>
                <w:sz w:val="24"/>
                <w:szCs w:val="24"/>
              </w:rPr>
              <w:t xml:space="preserve"> производството на растителните</w:t>
            </w:r>
            <w:r w:rsid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B7C73" w:rsidRPr="004F39ED">
              <w:rPr>
                <w:rFonts w:ascii="Times New Roman" w:hAnsi="Times New Roman"/>
                <w:sz w:val="24"/>
                <w:szCs w:val="24"/>
              </w:rPr>
              <w:t>и животинските продукти, изброени в приложение I към Договора, без да се извършват никакви по-нататъшни операции, с които се променя естеството на тези продукти</w:t>
            </w:r>
            <w:r w:rsidR="008877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35AD" w:rsidRPr="004F39ED" w:rsidTr="00934F95">
        <w:tc>
          <w:tcPr>
            <w:tcW w:w="3114" w:type="dxa"/>
            <w:vAlign w:val="center"/>
          </w:tcPr>
          <w:p w:rsidR="00D835AD" w:rsidRPr="004F39ED" w:rsidRDefault="00D835AD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04F1">
              <w:rPr>
                <w:rFonts w:ascii="Times New Roman" w:hAnsi="Times New Roman"/>
                <w:sz w:val="24"/>
                <w:szCs w:val="24"/>
                <w:lang w:val="bg-BG"/>
              </w:rPr>
              <w:t>Преработка на селскостопански продукти</w:t>
            </w:r>
          </w:p>
        </w:tc>
        <w:tc>
          <w:tcPr>
            <w:tcW w:w="5948" w:type="dxa"/>
          </w:tcPr>
          <w:p w:rsidR="00D835AD" w:rsidRPr="004F39ED" w:rsidRDefault="00D835AD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4F1">
              <w:rPr>
                <w:rFonts w:ascii="Times New Roman" w:hAnsi="Times New Roman"/>
                <w:sz w:val="24"/>
                <w:szCs w:val="24"/>
                <w:lang w:val="bg-BG"/>
              </w:rPr>
              <w:t>Всяко обработване на селскостопански продукт, в резултат на което се получава продукт, който също е селскостопански продукт, с изключение на дейностите, извършвани в стопанството, необходими за приготвяне на животински или растителен продукт за първа продажба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A75156" w:rsidRPr="004F39ED" w:rsidTr="00934F95">
        <w:tc>
          <w:tcPr>
            <w:tcW w:w="3114" w:type="dxa"/>
            <w:vAlign w:val="center"/>
          </w:tcPr>
          <w:p w:rsidR="00A75156" w:rsidRPr="004F39ED" w:rsidRDefault="00A75156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</w:t>
            </w:r>
            <w:r w:rsidRPr="00A75156">
              <w:rPr>
                <w:rFonts w:ascii="Times New Roman" w:hAnsi="Times New Roman"/>
                <w:sz w:val="24"/>
                <w:szCs w:val="24"/>
              </w:rPr>
              <w:t>обро финансово управление</w:t>
            </w:r>
          </w:p>
        </w:tc>
        <w:tc>
          <w:tcPr>
            <w:tcW w:w="5948" w:type="dxa"/>
          </w:tcPr>
          <w:p w:rsidR="00A75156" w:rsidRPr="00595BAF" w:rsidRDefault="00054A89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Д</w:t>
            </w:r>
            <w:r w:rsidR="00A75156" w:rsidRPr="00A75156">
              <w:rPr>
                <w:rFonts w:ascii="Times New Roman" w:hAnsi="Times New Roman"/>
                <w:sz w:val="24"/>
                <w:szCs w:val="24"/>
              </w:rPr>
              <w:t>обро финансово управление</w:t>
            </w:r>
            <w:proofErr w:type="gramStart"/>
            <w:r w:rsidR="00A75156" w:rsidRPr="00A75156">
              <w:rPr>
                <w:rFonts w:ascii="Times New Roman" w:hAnsi="Times New Roman"/>
                <w:sz w:val="24"/>
                <w:szCs w:val="24"/>
              </w:rPr>
              <w:t>“ означава</w:t>
            </w:r>
            <w:proofErr w:type="gramEnd"/>
            <w:r w:rsidR="00A75156" w:rsidRPr="00A75156">
              <w:rPr>
                <w:rFonts w:ascii="Times New Roman" w:hAnsi="Times New Roman"/>
                <w:sz w:val="24"/>
                <w:szCs w:val="24"/>
              </w:rPr>
              <w:t xml:space="preserve"> изпълнение на бюджета в съответствие с принципите на икономи</w:t>
            </w:r>
            <w:r w:rsidR="00595BAF">
              <w:rPr>
                <w:rFonts w:ascii="Times New Roman" w:hAnsi="Times New Roman"/>
                <w:sz w:val="24"/>
                <w:szCs w:val="24"/>
              </w:rPr>
              <w:t>чност, ефикасност и ефективност</w:t>
            </w:r>
            <w:r w:rsidR="00595BAF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2051F6" w:rsidRPr="004F39ED" w:rsidTr="00934F95">
        <w:tc>
          <w:tcPr>
            <w:tcW w:w="3114" w:type="dxa"/>
            <w:vAlign w:val="center"/>
          </w:tcPr>
          <w:p w:rsidR="002051F6" w:rsidRDefault="002051F6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2051F6">
              <w:rPr>
                <w:rFonts w:ascii="Times New Roman" w:hAnsi="Times New Roman"/>
                <w:sz w:val="24"/>
                <w:szCs w:val="24"/>
                <w:lang w:val="bg-BG"/>
              </w:rPr>
              <w:t>ринцип на добро финансово управление</w:t>
            </w:r>
          </w:p>
        </w:tc>
        <w:tc>
          <w:tcPr>
            <w:tcW w:w="5948" w:type="dxa"/>
          </w:tcPr>
          <w:p w:rsidR="002051F6" w:rsidRDefault="002051F6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2051F6">
              <w:rPr>
                <w:rFonts w:ascii="Times New Roman" w:hAnsi="Times New Roman"/>
                <w:sz w:val="24"/>
                <w:szCs w:val="24"/>
              </w:rPr>
              <w:t xml:space="preserve">ринципа на добро финансово 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е изпълнява</w:t>
            </w:r>
            <w:r w:rsidRPr="002051F6">
              <w:rPr>
                <w:rFonts w:ascii="Times New Roman" w:hAnsi="Times New Roman"/>
                <w:sz w:val="24"/>
                <w:szCs w:val="24"/>
              </w:rPr>
              <w:t xml:space="preserve">, като се спазват следните принципи: </w:t>
            </w:r>
          </w:p>
          <w:p w:rsidR="002051F6" w:rsidRDefault="002051F6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1F6">
              <w:rPr>
                <w:rFonts w:ascii="Times New Roman" w:hAnsi="Times New Roman"/>
                <w:sz w:val="24"/>
                <w:szCs w:val="24"/>
              </w:rPr>
              <w:t>а) принципа на икономичност, според който ресурс</w:t>
            </w:r>
            <w:r w:rsidR="00B62034">
              <w:rPr>
                <w:rFonts w:ascii="Times New Roman" w:hAnsi="Times New Roman"/>
                <w:sz w:val="24"/>
                <w:szCs w:val="24"/>
              </w:rPr>
              <w:t>ите</w:t>
            </w:r>
            <w:r w:rsidRPr="002051F6">
              <w:rPr>
                <w:rFonts w:ascii="Times New Roman" w:hAnsi="Times New Roman"/>
                <w:sz w:val="24"/>
                <w:szCs w:val="24"/>
              </w:rPr>
              <w:t xml:space="preserve"> се предоставят своевременно, в подходящо количество и качество и на най-добрата цена; </w:t>
            </w:r>
          </w:p>
          <w:p w:rsidR="002051F6" w:rsidRDefault="002051F6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1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б) принципа на ефикасност, който е свързан с най-доброто съотношение между използваните ресурси, предприетите дейности и постигането на целите; </w:t>
            </w:r>
          </w:p>
          <w:p w:rsidR="002051F6" w:rsidRPr="00A75156" w:rsidRDefault="002051F6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1F6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gramStart"/>
            <w:r w:rsidR="00B62034"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="00B62034" w:rsidRPr="002051F6">
              <w:rPr>
                <w:rFonts w:ascii="Times New Roman" w:hAnsi="Times New Roman"/>
                <w:sz w:val="24"/>
                <w:szCs w:val="24"/>
              </w:rPr>
              <w:t>ринципа</w:t>
            </w:r>
            <w:proofErr w:type="gramEnd"/>
            <w:r w:rsidRPr="002051F6">
              <w:rPr>
                <w:rFonts w:ascii="Times New Roman" w:hAnsi="Times New Roman"/>
                <w:sz w:val="24"/>
                <w:szCs w:val="24"/>
              </w:rPr>
              <w:t xml:space="preserve"> на ефективност, който е свързан със степента, в която се постигат поставените цели посредством предприетите дейности.</w:t>
            </w:r>
          </w:p>
        </w:tc>
      </w:tr>
      <w:tr w:rsidR="00FA626C" w:rsidRPr="004F39ED" w:rsidTr="00934F95">
        <w:tc>
          <w:tcPr>
            <w:tcW w:w="3114" w:type="dxa"/>
            <w:vAlign w:val="center"/>
          </w:tcPr>
          <w:p w:rsidR="00FA626C" w:rsidRDefault="009E73A8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С</w:t>
            </w:r>
            <w:r w:rsidR="00FA626C" w:rsidRPr="00523064">
              <w:rPr>
                <w:rFonts w:ascii="Times New Roman" w:hAnsi="Times New Roman"/>
                <w:sz w:val="24"/>
                <w:szCs w:val="24"/>
              </w:rPr>
              <w:t>пецифично оборудване и/или апаратура</w:t>
            </w:r>
          </w:p>
        </w:tc>
        <w:tc>
          <w:tcPr>
            <w:tcW w:w="5948" w:type="dxa"/>
          </w:tcPr>
          <w:p w:rsidR="00FA626C" w:rsidRDefault="007D25E7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D25E7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Включва машини, съоръжения, оборудване и апаратура, които притежават специфични функционалности, необходими за осъществяване на дейности по проекта и постигане на целите му, включително и изделия, които надграждат, допълват или модернизират съществуващи в практиката машини, съоръжения, оборудване и апаратура</w:t>
            </w:r>
            <w:r w:rsidR="00D835AD" w:rsidRPr="00D835AD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.</w:t>
            </w:r>
          </w:p>
        </w:tc>
      </w:tr>
      <w:tr w:rsidR="00726E59" w:rsidRPr="004F39ED" w:rsidTr="00934F95">
        <w:tc>
          <w:tcPr>
            <w:tcW w:w="3114" w:type="dxa"/>
            <w:vAlign w:val="center"/>
          </w:tcPr>
          <w:p w:rsidR="00726E59" w:rsidRDefault="00726E59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26E59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Лабораторно оборудване</w:t>
            </w:r>
          </w:p>
        </w:tc>
        <w:tc>
          <w:tcPr>
            <w:tcW w:w="5948" w:type="dxa"/>
          </w:tcPr>
          <w:p w:rsidR="00726E59" w:rsidRPr="00726E59" w:rsidRDefault="00726E59" w:rsidP="00DF43F2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26E59"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  <w:t>Лабораторно оборудване – апаратура и инструментална техника за количествени определения на съдържанието на дадени компоненти (елементи, вещества и др.) в изследваните материали и продукти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D835AD" w:rsidRPr="004F39ED" w:rsidTr="00934F95">
        <w:tc>
          <w:tcPr>
            <w:tcW w:w="3114" w:type="dxa"/>
            <w:vAlign w:val="center"/>
          </w:tcPr>
          <w:p w:rsidR="00D835AD" w:rsidRDefault="00D835AD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Селскостопанска дейност</w:t>
            </w:r>
          </w:p>
        </w:tc>
        <w:tc>
          <w:tcPr>
            <w:tcW w:w="5948" w:type="dxa"/>
          </w:tcPr>
          <w:p w:rsidR="00D835AD" w:rsidRPr="0074146A" w:rsidRDefault="00D835AD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„Селскостопанска дейност“ се определя по такъв начин, който дава възможност за осъществяването на принос към предоставянето на частни и обществени блага посредством един или и двата от следните елементи:</w:t>
            </w:r>
          </w:p>
          <w:p w:rsidR="00D835AD" w:rsidRPr="0074146A" w:rsidRDefault="00D835AD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производството на селскостопански продукти,</w:t>
            </w: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което включва дейности като отглеждане на животни или обработване на земя, включително посредством палудикултура, като селскостопански продукти означава продуктите, изброени в приложение I към ДФЕС, с изключение на рибни продукти, както и памук и дървесни култури с кратък цикъл на ротация;</w:t>
            </w:r>
          </w:p>
          <w:p w:rsidR="00D835AD" w:rsidRPr="00D835AD" w:rsidRDefault="00D835AD" w:rsidP="00DF43F2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bg-BG" w:eastAsia="en-US"/>
              </w:rPr>
            </w:pP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поддържането на селскостопанската площ</w:t>
            </w:r>
            <w:r w:rsidRPr="0074146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 състояние, което да я прави подходяща за паша или обработване без никакви специални подготвителни действия, които са извън рамките на употребата на традиционните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селскостопански методи и машини.</w:t>
            </w:r>
          </w:p>
        </w:tc>
      </w:tr>
      <w:tr w:rsidR="00D835AD" w:rsidRPr="004F39ED" w:rsidTr="00934F95">
        <w:tc>
          <w:tcPr>
            <w:tcW w:w="3114" w:type="dxa"/>
            <w:vAlign w:val="center"/>
          </w:tcPr>
          <w:p w:rsidR="00D835AD" w:rsidRDefault="00D835AD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Съпоставими оферти </w:t>
            </w:r>
          </w:p>
        </w:tc>
        <w:tc>
          <w:tcPr>
            <w:tcW w:w="5948" w:type="dxa"/>
          </w:tcPr>
          <w:p w:rsidR="00D835AD" w:rsidRDefault="00D835AD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D835AD">
              <w:rPr>
                <w:rFonts w:ascii="Times New Roman" w:hAnsi="Times New Roman"/>
                <w:sz w:val="24"/>
                <w:szCs w:val="24"/>
                <w:lang w:val="bg-BG"/>
              </w:rPr>
              <w:t>Оферти, които отговарят на запитването за оферта и съдържат еднотипни основни характеристики в зависимост от вида на услугата или доставката за която се отнасят</w:t>
            </w:r>
            <w:r w:rsidRPr="00D835A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FA0246" w:rsidRPr="004F39ED" w:rsidTr="00934F95">
        <w:tc>
          <w:tcPr>
            <w:tcW w:w="3114" w:type="dxa"/>
            <w:vAlign w:val="center"/>
          </w:tcPr>
          <w:p w:rsidR="00FA0246" w:rsidRPr="00206096" w:rsidRDefault="00FA0246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t>Идентични проекти</w:t>
            </w:r>
          </w:p>
        </w:tc>
        <w:tc>
          <w:tcPr>
            <w:tcW w:w="5948" w:type="dxa"/>
          </w:tcPr>
          <w:p w:rsidR="00FA0246" w:rsidRPr="00206096" w:rsidRDefault="00FA0246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Идентични проекти по настоящата процедура са такива, за които се установи, че включват решаването </w:t>
            </w:r>
            <w:r w:rsidR="00206096" w:rsidRPr="002060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чрез еднакъв подход и решение </w:t>
            </w: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</w:t>
            </w: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един и същи проблем за определено селскостопанско</w:t>
            </w:r>
            <w:r w:rsidR="002060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или горско</w:t>
            </w:r>
            <w:r w:rsidRPr="002060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производство</w:t>
            </w:r>
            <w:r w:rsidR="00206096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FC0721" w:rsidRPr="004F39ED" w:rsidTr="00934F95">
        <w:tc>
          <w:tcPr>
            <w:tcW w:w="3114" w:type="dxa"/>
            <w:vAlign w:val="center"/>
          </w:tcPr>
          <w:p w:rsidR="00FC0721" w:rsidRPr="00485C06" w:rsidRDefault="00FC0721" w:rsidP="00DF43F2">
            <w:pPr>
              <w:contextualSpacing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Индивидуал</w:t>
            </w:r>
            <w:r w:rsidR="00485C06">
              <w:rPr>
                <w:rFonts w:ascii="Times New Roman" w:hAnsi="Times New Roman"/>
                <w:sz w:val="24"/>
                <w:szCs w:val="24"/>
                <w:lang w:val="bg-BG"/>
              </w:rPr>
              <w:t>ен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>научноизследователски проект</w:t>
            </w:r>
          </w:p>
        </w:tc>
        <w:tc>
          <w:tcPr>
            <w:tcW w:w="5948" w:type="dxa"/>
          </w:tcPr>
          <w:p w:rsidR="00FC0721" w:rsidRPr="00485C06" w:rsidRDefault="00485C06" w:rsidP="00462E80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Н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>аучноизследователски</w:t>
            </w:r>
            <w:r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проект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</w:t>
            </w:r>
            <w:r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индивидуална или колективна научноизследователска разработка с елементи на новост и оригиналност при интерпретирането на научни проблеми в изпълнение на научноизследователска задача с определен срок и качество, в рамките на на</w:t>
            </w:r>
            <w:r w:rsidRPr="00485C06">
              <w:rPr>
                <w:rFonts w:ascii="Times New Roman" w:hAnsi="Times New Roman"/>
                <w:sz w:val="24"/>
                <w:szCs w:val="24"/>
                <w:lang w:val="bg-BG"/>
              </w:rPr>
              <w:t>личен финансов и човешки ресурс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D835AD" w:rsidRPr="004F39ED" w:rsidTr="00934F95">
        <w:tc>
          <w:tcPr>
            <w:tcW w:w="3114" w:type="dxa"/>
            <w:vAlign w:val="center"/>
          </w:tcPr>
          <w:p w:rsidR="00D835AD" w:rsidRPr="007A3CBA" w:rsidRDefault="00D835AD" w:rsidP="00DF43F2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  <w:r w:rsidRPr="009C5258">
              <w:rPr>
                <w:rFonts w:ascii="Times New Roman" w:hAnsi="Times New Roman"/>
                <w:sz w:val="24"/>
                <w:szCs w:val="24"/>
              </w:rPr>
              <w:t>Фундаментални научни изследвания</w:t>
            </w:r>
          </w:p>
        </w:tc>
        <w:tc>
          <w:tcPr>
            <w:tcW w:w="5948" w:type="dxa"/>
          </w:tcPr>
          <w:p w:rsidR="00D835AD" w:rsidRPr="007A3CBA" w:rsidRDefault="00D835AD" w:rsidP="00DF43F2">
            <w:pPr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C5258">
              <w:rPr>
                <w:rFonts w:ascii="Times New Roman" w:hAnsi="Times New Roman"/>
                <w:sz w:val="24"/>
                <w:szCs w:val="24"/>
              </w:rPr>
              <w:t>зследвания, включващи експериментална или теоретична работа, предприета основно с цел придобиване на нови знания за фундаменталните причини за явленията или наблюдаемите факти, без да се има предвид каквото и да било пряко практическо приложение или използване.</w:t>
            </w:r>
          </w:p>
        </w:tc>
      </w:tr>
      <w:tr w:rsidR="00AA3C90" w:rsidRPr="004F39ED" w:rsidTr="00462E80">
        <w:trPr>
          <w:trHeight w:val="2112"/>
        </w:trPr>
        <w:tc>
          <w:tcPr>
            <w:tcW w:w="3114" w:type="dxa"/>
            <w:vAlign w:val="center"/>
          </w:tcPr>
          <w:p w:rsidR="00AA3C90" w:rsidRPr="009C5258" w:rsidRDefault="00AA3C90" w:rsidP="00DF43F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Цифровите технологии</w:t>
            </w:r>
          </w:p>
        </w:tc>
        <w:tc>
          <w:tcPr>
            <w:tcW w:w="5948" w:type="dxa"/>
          </w:tcPr>
          <w:p w:rsidR="00AA3C90" w:rsidRPr="00AA3C90" w:rsidRDefault="00AA3C90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Цифровите технологии са съвкупност от хардуерни и софтуерни решения, които позволяват събиране, обработка, анализ и използване на данни за подобряване на производствените процеси, управлението на ресурсите, мониторинг, автоматизация и вземане на решения в селското и горското стопанство. Целта на прилагането на цифрови технологии е повишаване на ефективността, устойчивостта, проследимостта и конкурентоспособността на селско стопанство или горското стопанство, както и постигането на по-висока степен на автоматизация и дигитализация на процесите.</w:t>
            </w:r>
          </w:p>
          <w:p w:rsidR="00AA3C90" w:rsidRPr="00AA3C90" w:rsidRDefault="00AA3C90" w:rsidP="00DF43F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 xml:space="preserve">Примери за цифрови технологии: 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Глобални навигационни спътникови системи (GNSS/GPS);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Системи за прецизно земеделие;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Дистанционни сензори, дронове и сателитно наблюдение;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Софтуер за управление на стопанство (Farm Management Information Systems);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Интернет на нещата (IoT) устройства за мониторинг на почва, вода, климат и животни;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Автоматизирани и роботизирани машини и оборудване;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 xml:space="preserve">Цифрови платформи (вкл. на базата на блокчейн) за търговия, логистика и </w:t>
            </w:r>
            <w:r w:rsidRPr="00AA3C90">
              <w:rPr>
                <w:rFonts w:ascii="Times New Roman" w:hAnsi="Times New Roman"/>
                <w:sz w:val="24"/>
                <w:szCs w:val="24"/>
              </w:rPr>
              <w:lastRenderedPageBreak/>
              <w:t>анализ на данни, както и проследимостта на тези процеси;</w:t>
            </w:r>
          </w:p>
          <w:p w:rsidR="00AA3C90" w:rsidRPr="00AA3C9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Системи за проследимост, електронни дневници и електронна отчетност;</w:t>
            </w:r>
          </w:p>
          <w:p w:rsidR="00462E80" w:rsidRDefault="00AA3C90" w:rsidP="00DF43F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C90">
              <w:rPr>
                <w:rFonts w:ascii="Times New Roman" w:hAnsi="Times New Roman"/>
                <w:sz w:val="24"/>
                <w:szCs w:val="24"/>
              </w:rPr>
              <w:t>Изкуствен интелект и машинно обучение, когато се използват за анализ и оптимизация на агро-процеси.</w:t>
            </w:r>
          </w:p>
          <w:p w:rsidR="00AA3C90" w:rsidRPr="00462E80" w:rsidRDefault="00AA3C90" w:rsidP="00462E80">
            <w:pPr>
              <w:pStyle w:val="ListParagraph"/>
              <w:spacing w:after="0"/>
              <w:jc w:val="both"/>
            </w:pPr>
          </w:p>
        </w:tc>
      </w:tr>
    </w:tbl>
    <w:p w:rsidR="00CE1ADE" w:rsidRPr="004F39ED" w:rsidRDefault="00CE1ADE" w:rsidP="00CE1ADE"/>
    <w:p w:rsidR="00AF49E8" w:rsidRDefault="00AF49E8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  <w:sectPr w:rsidR="00AF49E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Toc211416830"/>
    </w:p>
    <w:p w:rsidR="00771598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>Основна ц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>ел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>, очаквани резултати и принос към специфичните цели</w:t>
      </w:r>
      <w:bookmarkEnd w:id="3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AF49E8">
        <w:trPr>
          <w:trHeight w:val="6662"/>
        </w:trPr>
        <w:tc>
          <w:tcPr>
            <w:tcW w:w="9209" w:type="dxa"/>
          </w:tcPr>
          <w:p w:rsidR="0061363E" w:rsidRPr="004F39ED" w:rsidRDefault="0061363E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1. Основна цел:</w:t>
            </w:r>
          </w:p>
          <w:p w:rsidR="00C77D9E" w:rsidRPr="00C77D9E" w:rsidRDefault="00C77D9E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Подкрепата се предоставя за функциониране на оперативни групи за постигането на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целите на Европейското партньорство за иновации (ЕПИ) за селскостопанска производителност и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устойчивост, посочени в член 127 на Регламент 2021/2115 на Европейския парламент и на Съвета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от 2 декември 2021 година за установяване на правила за подпомагане за стратегическите планове,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които трябва да бъдат изготвени от държавите членки по линия на общата селскостопанска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политика (стратегически планове по ОСП) и финансирани от Европейския фонд за гарантиране на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земеделието (ЕФГЗ) и от Европейския земеделски фонд за развитие на селските райони (ЕЗФРСР),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и за отмяна на регламенти (ЕС) № 1305/2013 и (ЕС) № 1307/2013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.</w:t>
            </w:r>
          </w:p>
          <w:p w:rsidR="00A55ADB" w:rsidRDefault="00A55ADB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C77D9E" w:rsidRDefault="00C77D9E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Европейското партньорство за иновации (ЕПИ) по-конкретно има за цел да:</w:t>
            </w:r>
          </w:p>
          <w:p w:rsidR="00EF223F" w:rsidRPr="00C77D9E" w:rsidRDefault="00EF223F" w:rsidP="00C77D9E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EF223F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създава добавена стойност чрез по-добро свързване на научноизследователската дейност и селскостопанската практика и да насърчава по-широкото използване на наличните иновационни мерки;</w:t>
            </w:r>
          </w:p>
          <w:p w:rsidR="00EF223F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установява връзка между участниците в областта на иновациите и съответните проекти;</w:t>
            </w:r>
          </w:p>
          <w:p w:rsidR="00EF223F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насърчава по-бързо и по-широкообхватно прилагане на новаторските решения в практиката, включително обменът между земеделските стопани;</w:t>
            </w:r>
          </w:p>
          <w:p w:rsidR="00C77D9E" w:rsidRPr="00AA3C90" w:rsidRDefault="00C77D9E" w:rsidP="00AA3C9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информира научната общност за нуждите от изследвания в полза на селскостопанската практика.</w:t>
            </w:r>
          </w:p>
          <w:p w:rsidR="00436456" w:rsidRPr="00EF223F" w:rsidRDefault="00436456" w:rsidP="0043645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Чрез интервенцията ще се подпомагат и </w:t>
            </w:r>
            <w:r w:rsidR="00A55AD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новаторски проекти</w:t>
            </w:r>
            <w:r w:rsidR="00F1077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на оператвини групи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, свързани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с продукти попадащи извън обхвата на Приложение I на чл. 42 от ДФЕС, които същевременно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допринасят за постигане на целите на ЕПИ. Тази подкрепа попада в обхвата на чл. 39 от Регламент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(ЕС) 2022/2472 на Комисията от 14 декември 2022 година относно деклариране на някои категории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помощи в секторите на селското и горското стопанство и в селските райони за съвместими с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вътрешния пазар в приложение на членове 107 и 108 от Договора за функционирането на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Pr="00AA3C90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Европейския съюз.</w:t>
            </w:r>
          </w:p>
          <w:p w:rsidR="00EF223F" w:rsidRDefault="00EF223F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</w:p>
          <w:p w:rsidR="001654FC" w:rsidRDefault="0061363E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891FA9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2. </w:t>
            </w:r>
            <w:r w:rsidR="00E91DDA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Очаквани резултати:</w:t>
            </w:r>
          </w:p>
          <w:p w:rsidR="00E91DDA" w:rsidRPr="00E91DDA" w:rsidRDefault="00E91DDA" w:rsidP="00627E59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</w:pP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Очакваният ефект от прилагане на интервенцията е да се допринесе в най-голяма степен за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засилване и укрепване на връзките между земеделското производство и изследователската дейност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чрез прилагането на проекти с потенциал за иновации, базирани на интерактивни иновационни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Pr="00C77D9E">
              <w:rPr>
                <w:rFonts w:ascii="Times New Roman" w:eastAsia="Times New Roman" w:hAnsi="Times New Roman"/>
                <w:noProof/>
                <w:sz w:val="24"/>
                <w:szCs w:val="24"/>
              </w:rPr>
              <w:t>модели.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E91DDA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Предви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жда се</w:t>
            </w:r>
            <w:r w:rsidRPr="00E91DDA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подкрепа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та по процедурата да предостави възможност за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изпълнение на най-малко 100 усп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е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ш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ни новаторски проекти, представени от </w:t>
            </w:r>
            <w:r w:rsidRPr="00E91DDA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оперативни групи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, в т.ч. оперативни групи, чието създаване е подпомогнато чрез </w:t>
            </w:r>
            <w:r w:rsidR="00A55ADB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финансова помощ, предоставена по </w:t>
            </w:r>
            <w:r w:rsidR="00EF223F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първа стъпка</w:t>
            </w:r>
            <w:r w:rsidR="00F1077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на интервенцията </w:t>
            </w:r>
            <w:r w:rsidR="00F10771">
              <w:rPr>
                <w:rFonts w:ascii="Times New Roman" w:eastAsia="Times New Roman" w:hAnsi="Times New Roman"/>
                <w:noProof/>
                <w:sz w:val="24"/>
                <w:szCs w:val="24"/>
              </w:rPr>
              <w:t>II.</w:t>
            </w:r>
            <w:r w:rsidR="00F1077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Ж.1</w:t>
            </w:r>
            <w:r w:rsidR="00F10771" w:rsidRPr="00F10771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F10771" w:rsidRPr="00F10771">
              <w:rPr>
                <w:rFonts w:ascii="Times New Roman" w:eastAsiaTheme="majorEastAsia" w:hAnsi="Times New Roman"/>
                <w:bCs/>
                <w:sz w:val="24"/>
                <w:szCs w:val="24"/>
                <w:lang w:val="bg-BG"/>
              </w:rPr>
              <w:t>„</w:t>
            </w:r>
            <w:r w:rsidR="00F10771" w:rsidRPr="00F10771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bg-BG"/>
              </w:rPr>
              <w:t>Подкрепа за оперативни групи в рамките на Европейското партньорство за иновации“</w:t>
            </w:r>
            <w:r w:rsidR="00EF223F" w:rsidRPr="00F1077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.</w:t>
            </w:r>
          </w:p>
          <w:p w:rsidR="00C77D9E" w:rsidRPr="00703369" w:rsidRDefault="00C77D9E" w:rsidP="00627E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759A" w:rsidRPr="00FF727D" w:rsidRDefault="0061363E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7D386A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3. </w:t>
            </w:r>
            <w:r w:rsidR="002E759A" w:rsidRPr="00FF727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Показатели за резултат</w:t>
            </w:r>
            <w:r w:rsidR="00102904" w:rsidRPr="00FF727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:</w:t>
            </w:r>
          </w:p>
          <w:p w:rsidR="00466882" w:rsidRPr="001E7DCD" w:rsidRDefault="00685E90" w:rsidP="00627E59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7D386A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Подкрепените дейности по процедурата</w:t>
            </w:r>
            <w:r w:rsidR="0061363E" w:rsidRPr="007D386A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ще допринес</w:t>
            </w:r>
            <w:r w:rsidRPr="007D386A">
              <w:rPr>
                <w:rFonts w:ascii="Times New Roman" w:eastAsia="Times New Roman" w:hAnsi="Times New Roman"/>
                <w:noProof/>
                <w:sz w:val="24"/>
                <w:szCs w:val="24"/>
              </w:rPr>
              <w:t>ат</w:t>
            </w:r>
            <w:r w:rsidR="0061363E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за постигане на </w:t>
            </w:r>
            <w:r w:rsidR="00FB62DA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един или няколко от следните резултатни индикатори, имащи пряко отношение към изпълнението на </w:t>
            </w:r>
            <w:r w:rsidR="00FB62DA" w:rsidRPr="00FF727D">
              <w:rPr>
                <w:rFonts w:ascii="Times New Roman" w:eastAsia="Times New Roman" w:hAnsi="Times New Roman"/>
                <w:noProof/>
                <w:sz w:val="24"/>
                <w:szCs w:val="24"/>
              </w:rPr>
              <w:t>AKIS:</w:t>
            </w:r>
          </w:p>
          <w:p w:rsidR="002932EA" w:rsidRDefault="002932EA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</w:p>
          <w:p w:rsidR="007A3CB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lastRenderedPageBreak/>
              <w:t>R.1.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 xml:space="preserve"> Подобряване на качеството на изпълнението чрез знания и иновации: Брой на лицата, ползващи се от консултации, обучения и обмен на знания или участващи в оперативни групи на Европейското партньорство за иновации (ЕПИ), подпомагани от ОСП с цел подобряване на устойчивото качество на изпълнението в икономически, социален, екологичен, свързан с климата и с ресурсната ефективност аспект.</w:t>
            </w:r>
          </w:p>
          <w:p w:rsidR="007A3CB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US"/>
              </w:rPr>
              <w:t>R.2</w:t>
            </w: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t>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>Създаване на връзка между консултациите и системите за знания: Брой на получаващите подпомагане консултанти, които да бъдат интегрирани в Системите за знания и иновации в селското стопанство (AKIS).</w:t>
            </w:r>
          </w:p>
          <w:p w:rsidR="007A3CB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t>R.3.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 xml:space="preserve"> Цифровизация на селското стопанство: дял на земеделските стопанства, ползващи подпомагане за цифрови технологии за земеделие по линия на ОСП.</w:t>
            </w:r>
          </w:p>
          <w:p w:rsidR="00E91DDA" w:rsidRPr="007A3CBA" w:rsidRDefault="007A3CBA" w:rsidP="00F10771">
            <w:pPr>
              <w:spacing w:after="120" w:line="259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</w:pP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US" w:eastAsia="en-US"/>
              </w:rPr>
              <w:t>R.28</w:t>
            </w:r>
            <w:r w:rsidRPr="007A3C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bg-BG" w:eastAsia="en-US"/>
              </w:rPr>
              <w:t>.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en-US"/>
              </w:rPr>
              <w:t xml:space="preserve"> Качество на изпълнението с оглед на околната среда или климата чрез знания и иновации: брой на лицата, ползващи се от консултации, обучения и обмен на знания или участващи в оперативни групи на Европейското партньорство за иновации (ЕПИ), подпомагани от ОСП, във връзка с качеството на изпълнението свързано с околната среда климата</w:t>
            </w:r>
            <w:r w:rsidRPr="007A3CBA">
              <w:rPr>
                <w:rFonts w:ascii="Times New Roman" w:eastAsia="Times New Roman" w:hAnsi="Times New Roman"/>
                <w:noProof/>
                <w:sz w:val="24"/>
                <w:szCs w:val="24"/>
                <w:lang w:val="bg-BG" w:eastAsia="en-US"/>
              </w:rPr>
              <w:t>.</w:t>
            </w:r>
          </w:p>
          <w:p w:rsidR="00F44648" w:rsidRDefault="00D748A9" w:rsidP="00627E59">
            <w:pPr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4. </w:t>
            </w:r>
            <w:r w:rsidR="00AB798E"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Принос към специфичните цели</w:t>
            </w:r>
            <w:r w:rsidR="00A22C74"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:</w:t>
            </w:r>
            <w:r w:rsidR="00485BC6" w:rsidRPr="004F39ED"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:rsidR="00560904" w:rsidRPr="004F39ED" w:rsidRDefault="008D46FD" w:rsidP="00627E59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Процедурата </w:t>
            </w:r>
            <w:r w:rsidR="00485BC6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ще допринесе за постигане на м</w:t>
            </w:r>
            <w:r w:rsidR="00F57007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еждусекторна</w:t>
            </w:r>
            <w:r w:rsidR="00485BC6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та</w:t>
            </w:r>
            <w:r w:rsidR="00F57007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цел за модернизиране на селското стопанство и селските райони чрез стимулиране и споделяне на знания, иновации и цифровизация в селското стопанство и селските райони и чрез насърчаване на усвояването им в по-голяма степен от земеделските стопани чрез по-добър достъп до научни изследвания, иновации, обмен на знания и обучение.</w:t>
            </w:r>
          </w:p>
          <w:p w:rsidR="00CB2060" w:rsidRPr="00CB2060" w:rsidRDefault="00CB2060" w:rsidP="00AA3C90">
            <w:pPr>
              <w:rPr>
                <w:noProof/>
              </w:rPr>
            </w:pPr>
          </w:p>
        </w:tc>
      </w:tr>
    </w:tbl>
    <w:p w:rsidR="00D65705" w:rsidRPr="004F39ED" w:rsidRDefault="00CA4E27" w:rsidP="00D65705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211416831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Териториален обхват</w:t>
      </w:r>
      <w:bookmarkEnd w:id="4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65705" w:rsidRPr="004F39ED" w:rsidTr="00234D97">
        <w:tc>
          <w:tcPr>
            <w:tcW w:w="9209" w:type="dxa"/>
          </w:tcPr>
          <w:p w:rsidR="00D65705" w:rsidRPr="004F39ED" w:rsidRDefault="00FB3011" w:rsidP="004A7ED9">
            <w:pPr>
              <w:spacing w:before="240" w:after="4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1. </w:t>
            </w:r>
            <w:r w:rsidR="00015935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Дейностите </w:t>
            </w:r>
            <w:r w:rsidR="008D46FD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по процедурата </w:t>
            </w:r>
            <w:r w:rsidR="002E759A" w:rsidRPr="004F39ED">
              <w:rPr>
                <w:rFonts w:ascii="Times New Roman" w:eastAsia="Times New Roman" w:hAnsi="Times New Roman"/>
                <w:noProof/>
                <w:sz w:val="24"/>
                <w:szCs w:val="24"/>
              </w:rPr>
              <w:t>се изпълняват на територията на Република България.</w:t>
            </w:r>
          </w:p>
        </w:tc>
      </w:tr>
    </w:tbl>
    <w:p w:rsidR="00CE1ADE" w:rsidRPr="004F39ED" w:rsidRDefault="00CA4E27" w:rsidP="004A7ED9">
      <w:pPr>
        <w:pStyle w:val="Heading1"/>
        <w:spacing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211416832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Бюджет </w:t>
      </w:r>
      <w:r w:rsidR="00F07187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 финансови условия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в т.ч. минимален и максимален размер на допустимите разходи 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 един проект 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 интензитет на финансовата помощ</w:t>
      </w:r>
      <w:bookmarkEnd w:id="5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234D97">
        <w:tc>
          <w:tcPr>
            <w:tcW w:w="9209" w:type="dxa"/>
          </w:tcPr>
          <w:p w:rsidR="00BB005D" w:rsidRDefault="00BB005D" w:rsidP="00627E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27D">
              <w:rPr>
                <w:rFonts w:ascii="Times New Roman" w:hAnsi="Times New Roman"/>
                <w:sz w:val="24"/>
                <w:szCs w:val="24"/>
              </w:rPr>
              <w:t>1. Общият размер на безвъзмездната финансова помощ по настоящ</w:t>
            </w:r>
            <w:r w:rsidR="00E77825" w:rsidRPr="00FF727D">
              <w:rPr>
                <w:rFonts w:ascii="Times New Roman" w:hAnsi="Times New Roman"/>
                <w:sz w:val="24"/>
                <w:szCs w:val="24"/>
              </w:rPr>
              <w:t xml:space="preserve">ата процедура </w:t>
            </w:r>
            <w:r w:rsidRPr="00FF727D">
              <w:rPr>
                <w:rFonts w:ascii="Times New Roman" w:hAnsi="Times New Roman"/>
                <w:sz w:val="24"/>
                <w:szCs w:val="24"/>
              </w:rPr>
              <w:t xml:space="preserve">възлиза на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58 674 000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лв. (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>30 000 000</w:t>
            </w:r>
            <w:r w:rsidR="00186D64" w:rsidRPr="00C50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 xml:space="preserve">евро), в т.ч.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23 469 600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лв. (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12 000 000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 xml:space="preserve">евро) от Европейския земеделски фонд за развитие на селските райони и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>35 204 400</w:t>
            </w:r>
            <w:r w:rsidR="00186D64" w:rsidRPr="00C50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лв. (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18 000 000 </w:t>
            </w:r>
            <w:r w:rsidRPr="00C50258">
              <w:rPr>
                <w:rFonts w:ascii="Times New Roman" w:hAnsi="Times New Roman"/>
                <w:sz w:val="24"/>
                <w:szCs w:val="24"/>
              </w:rPr>
              <w:t>евро) национално финансиране.</w:t>
            </w:r>
          </w:p>
          <w:p w:rsidR="00186D64" w:rsidRPr="00FF727D" w:rsidRDefault="00186D64" w:rsidP="00627E5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43"/>
              <w:gridCol w:w="2944"/>
              <w:gridCol w:w="3062"/>
            </w:tblGrid>
            <w:tr w:rsidR="008D46FD" w:rsidRPr="004F39ED" w:rsidTr="00234D97">
              <w:trPr>
                <w:trHeight w:val="250"/>
              </w:trPr>
              <w:tc>
                <w:tcPr>
                  <w:tcW w:w="2943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Общият размер на безвъзмездната финансова помощ</w:t>
                  </w:r>
                </w:p>
              </w:tc>
              <w:tc>
                <w:tcPr>
                  <w:tcW w:w="6006" w:type="dxa"/>
                  <w:gridSpan w:val="2"/>
                  <w:shd w:val="clear" w:color="auto" w:fill="D9D9D9" w:themeFill="background1" w:themeFillShade="D9"/>
                </w:tcPr>
                <w:p w:rsidR="008D46FD" w:rsidRPr="009B7860" w:rsidRDefault="008D46FD" w:rsidP="00627E59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т.ч. от:</w:t>
                  </w:r>
                </w:p>
              </w:tc>
            </w:tr>
            <w:tr w:rsidR="008D46FD" w:rsidRPr="004F39ED" w:rsidTr="00234D97">
              <w:trPr>
                <w:trHeight w:val="355"/>
              </w:trPr>
              <w:tc>
                <w:tcPr>
                  <w:tcW w:w="2943" w:type="dxa"/>
                  <w:vMerge/>
                  <w:shd w:val="clear" w:color="auto" w:fill="D9D9D9" w:themeFill="background1" w:themeFillShade="D9"/>
                </w:tcPr>
                <w:p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44" w:type="dxa"/>
                  <w:shd w:val="clear" w:color="auto" w:fill="D9D9D9" w:themeFill="background1" w:themeFillShade="D9"/>
                  <w:vAlign w:val="center"/>
                </w:tcPr>
                <w:p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Европейския земеделски фонд за развитие на селските райони</w:t>
                  </w:r>
                </w:p>
              </w:tc>
              <w:tc>
                <w:tcPr>
                  <w:tcW w:w="3062" w:type="dxa"/>
                  <w:shd w:val="clear" w:color="auto" w:fill="D9D9D9" w:themeFill="background1" w:themeFillShade="D9"/>
                  <w:vAlign w:val="center"/>
                </w:tcPr>
                <w:p w:rsidR="008D46FD" w:rsidRPr="009B7860" w:rsidRDefault="008D46FD" w:rsidP="00627E59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78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Принос от националния бюджет на Република България</w:t>
                  </w:r>
                </w:p>
              </w:tc>
            </w:tr>
            <w:tr w:rsidR="008D46FD" w:rsidRPr="004F39ED" w:rsidTr="00234D97">
              <w:trPr>
                <w:trHeight w:val="20"/>
              </w:trPr>
              <w:tc>
                <w:tcPr>
                  <w:tcW w:w="2943" w:type="dxa"/>
                </w:tcPr>
                <w:p w:rsidR="008D46FD" w:rsidRPr="00FF727D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30 000 000 </w:t>
                  </w:r>
                  <w:r w:rsidR="008D46FD" w:rsidRPr="00FF727D">
                    <w:rPr>
                      <w:rFonts w:ascii="Times New Roman" w:hAnsi="Times New Roman"/>
                      <w:sz w:val="24"/>
                      <w:szCs w:val="24"/>
                    </w:rPr>
                    <w:t>евро</w:t>
                  </w:r>
                </w:p>
              </w:tc>
              <w:tc>
                <w:tcPr>
                  <w:tcW w:w="2944" w:type="dxa"/>
                  <w:vAlign w:val="center"/>
                </w:tcPr>
                <w:p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12 000 000 </w:t>
                  </w:r>
                  <w:r w:rsidR="00FB3011" w:rsidRPr="00C50258">
                    <w:rPr>
                      <w:rFonts w:ascii="Times New Roman" w:hAnsi="Times New Roman"/>
                      <w:sz w:val="24"/>
                      <w:szCs w:val="24"/>
                    </w:rPr>
                    <w:t>евро</w:t>
                  </w:r>
                </w:p>
              </w:tc>
              <w:tc>
                <w:tcPr>
                  <w:tcW w:w="3062" w:type="dxa"/>
                  <w:vAlign w:val="center"/>
                </w:tcPr>
                <w:p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18 000 000 </w:t>
                  </w:r>
                  <w:r w:rsidR="00FB3011" w:rsidRPr="00C50258">
                    <w:rPr>
                      <w:rFonts w:ascii="Times New Roman" w:hAnsi="Times New Roman"/>
                      <w:sz w:val="24"/>
                      <w:szCs w:val="24"/>
                    </w:rPr>
                    <w:t>евро</w:t>
                  </w:r>
                </w:p>
              </w:tc>
            </w:tr>
            <w:tr w:rsidR="008D46FD" w:rsidRPr="004F39ED" w:rsidTr="00234D97">
              <w:trPr>
                <w:trHeight w:val="20"/>
              </w:trPr>
              <w:tc>
                <w:tcPr>
                  <w:tcW w:w="2943" w:type="dxa"/>
                </w:tcPr>
                <w:p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58 674 000 </w:t>
                  </w:r>
                  <w:r w:rsidR="008D46FD" w:rsidRPr="00C50258">
                    <w:rPr>
                      <w:rFonts w:ascii="Times New Roman" w:hAnsi="Times New Roman"/>
                      <w:sz w:val="24"/>
                      <w:szCs w:val="24"/>
                    </w:rPr>
                    <w:t>лв.</w:t>
                  </w:r>
                </w:p>
              </w:tc>
              <w:tc>
                <w:tcPr>
                  <w:tcW w:w="2944" w:type="dxa"/>
                  <w:vAlign w:val="center"/>
                </w:tcPr>
                <w:p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23 469 600</w:t>
                  </w:r>
                  <w:r w:rsidR="008D46FD" w:rsidRPr="00C50258">
                    <w:rPr>
                      <w:rFonts w:ascii="Times New Roman" w:hAnsi="Times New Roman"/>
                      <w:sz w:val="24"/>
                      <w:szCs w:val="24"/>
                    </w:rPr>
                    <w:t xml:space="preserve"> лв.</w:t>
                  </w:r>
                </w:p>
              </w:tc>
              <w:tc>
                <w:tcPr>
                  <w:tcW w:w="3062" w:type="dxa"/>
                  <w:vAlign w:val="center"/>
                </w:tcPr>
                <w:p w:rsidR="008D46FD" w:rsidRPr="00C50258" w:rsidRDefault="00186D64" w:rsidP="00E86CF5">
                  <w:pPr>
                    <w:spacing w:before="120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35 204 400 </w:t>
                  </w:r>
                  <w:r w:rsidR="00FB3011" w:rsidRPr="00C50258">
                    <w:rPr>
                      <w:rFonts w:ascii="Times New Roman" w:hAnsi="Times New Roman"/>
                      <w:sz w:val="24"/>
                      <w:szCs w:val="24"/>
                    </w:rPr>
                    <w:t>лв.</w:t>
                  </w:r>
                </w:p>
              </w:tc>
            </w:tr>
          </w:tbl>
          <w:p w:rsidR="00B0603F" w:rsidRDefault="00A12F7E" w:rsidP="007705A1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7D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B0603F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Максималният размер </w:t>
            </w:r>
            <w:r w:rsidR="00B0603F" w:rsidRPr="007D25E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</w:t>
            </w:r>
            <w:r w:rsidR="00F379AE" w:rsidRPr="00462E80">
              <w:rPr>
                <w:rFonts w:ascii="Times New Roman" w:hAnsi="Times New Roman"/>
                <w:sz w:val="24"/>
                <w:szCs w:val="24"/>
                <w:lang w:val="bg-BG"/>
              </w:rPr>
              <w:t>допустимите разходи</w:t>
            </w:r>
            <w:r w:rsidR="00B0603F"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543C49" w:rsidRPr="007D25E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 </w:t>
            </w:r>
            <w:r w:rsidR="00543C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процедурата </w:t>
            </w:r>
            <w:r w:rsidR="00B0603F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един кандидат</w:t>
            </w:r>
            <w:r w:rsidR="00543C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="00B0603F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782 320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лв.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>(</w:t>
            </w:r>
            <w:r w:rsidR="006E3CD6">
              <w:rPr>
                <w:rFonts w:ascii="Times New Roman" w:hAnsi="Times New Roman"/>
                <w:sz w:val="24"/>
                <w:szCs w:val="24"/>
                <w:lang w:val="bg-BG"/>
              </w:rPr>
              <w:t>400 000</w:t>
            </w:r>
            <w:r w:rsidR="001F5D6E" w:rsidRPr="00F1740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евро</w:t>
            </w:r>
            <w:r w:rsidR="00F9513A">
              <w:rPr>
                <w:rFonts w:ascii="Times New Roman" w:hAnsi="Times New Roman"/>
                <w:sz w:val="24"/>
                <w:szCs w:val="24"/>
                <w:lang w:val="bg-BG"/>
              </w:rPr>
              <w:t>)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</w:t>
            </w:r>
            <w:r w:rsidR="007705A1" w:rsidRP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проекти, попадащи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>в</w:t>
            </w:r>
            <w:r w:rsidR="007705A1" w:rsidRP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обхвата на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705A1" w:rsidRPr="007705A1">
              <w:rPr>
                <w:rFonts w:ascii="Times New Roman" w:hAnsi="Times New Roman"/>
                <w:sz w:val="24"/>
                <w:szCs w:val="24"/>
                <w:lang w:val="bg-BG"/>
              </w:rPr>
              <w:t>Анекс I от ДФЕС.</w:t>
            </w:r>
          </w:p>
          <w:p w:rsidR="00F9513A" w:rsidRPr="00F17406" w:rsidRDefault="00A12F7E" w:rsidP="002819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F951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F9513A" w:rsidRPr="00F951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Максималният размер на </w:t>
            </w:r>
            <w:r w:rsidR="00F379AE" w:rsidRPr="00462E80">
              <w:rPr>
                <w:rFonts w:ascii="Times New Roman" w:hAnsi="Times New Roman"/>
                <w:sz w:val="24"/>
                <w:szCs w:val="24"/>
                <w:lang w:val="bg-BG"/>
              </w:rPr>
              <w:t>допустимите разходи</w:t>
            </w:r>
            <w:r w:rsidR="00F9513A" w:rsidRPr="00462E8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9513A" w:rsidRPr="007D25E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 </w:t>
            </w:r>
            <w:r w:rsidR="00F9513A" w:rsidRPr="00F9513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процедурата за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един кандидат е 684 530 </w:t>
            </w:r>
            <w:r w:rsidR="00186D6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лв. </w:t>
            </w:r>
            <w:r w:rsidR="007705A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(350 000 евро) за 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проект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и,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попадащ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и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извън обхвата на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="007705A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Анекс I от ДФЕС</w:t>
            </w:r>
            <w:r w:rsidR="00F25904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</w:t>
            </w:r>
          </w:p>
          <w:p w:rsidR="00B0603F" w:rsidRPr="00F25904" w:rsidRDefault="00A12F7E" w:rsidP="00B0603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4</w:t>
            </w:r>
            <w:r w:rsidR="00B0603F" w:rsidRPr="00FF727D">
              <w:rPr>
                <w:rFonts w:ascii="Times New Roman" w:hAnsi="Times New Roman"/>
                <w:sz w:val="24"/>
                <w:szCs w:val="24"/>
              </w:rPr>
              <w:t xml:space="preserve">. Максималният интензитет на безвъзмездната финансова помощ </w:t>
            </w:r>
            <w:r w:rsidR="005062CD">
              <w:rPr>
                <w:rFonts w:ascii="Times New Roman" w:hAnsi="Times New Roman"/>
                <w:sz w:val="24"/>
                <w:szCs w:val="24"/>
                <w:lang w:val="bg-BG"/>
              </w:rPr>
              <w:t>възлиза на</w:t>
            </w:r>
            <w:r w:rsidR="00F25904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8D5A1F" w:rsidRPr="008D5A1F" w:rsidRDefault="00A55ADB" w:rsidP="008D5A1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а) 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100 % от размера на одобрените</w:t>
            </w:r>
            <w:r w:rsidR="00C22EE7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 xml:space="preserve"> текущи разходи за</w:t>
            </w:r>
            <w:r w:rsidR="008D5A1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сътрудничеството</w:t>
            </w:r>
            <w:r w:rsidR="00C22EE7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разходи за разпространение на резултатите от проекта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 xml:space="preserve"> и преки неинвестиционни разходи</w:t>
            </w:r>
            <w:r w:rsidR="00C645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5A1F" w:rsidRPr="00FF727D" w:rsidRDefault="00A55ADB" w:rsidP="008D5A1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60 % от размера на одобрените преки разходи</w:t>
            </w:r>
            <w:r w:rsidR="00FA70C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т.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 </w:t>
            </w:r>
            <w:r w:rsidR="00FA70C8">
              <w:rPr>
                <w:rFonts w:ascii="Times New Roman" w:hAnsi="Times New Roman"/>
                <w:sz w:val="24"/>
                <w:szCs w:val="24"/>
                <w:lang w:val="bg-BG"/>
              </w:rPr>
              <w:t>от раздел</w:t>
            </w:r>
            <w:r w:rsidR="00F259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A70C8" w:rsidRPr="00FA70C8"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="00C3060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A70C8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FA70C8" w:rsidRPr="00FA70C8">
              <w:rPr>
                <w:rFonts w:ascii="Times New Roman" w:hAnsi="Times New Roman"/>
                <w:sz w:val="24"/>
                <w:szCs w:val="24"/>
                <w:lang w:val="bg-BG"/>
              </w:rPr>
              <w:t>Допустими разходи</w:t>
            </w:r>
            <w:r w:rsidR="00C87970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, обосновани като</w:t>
            </w:r>
            <w:r w:rsidR="008D5A1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D5A1F" w:rsidRPr="008D5A1F">
              <w:rPr>
                <w:rFonts w:ascii="Times New Roman" w:hAnsi="Times New Roman"/>
                <w:sz w:val="24"/>
                <w:szCs w:val="24"/>
              </w:rPr>
              <w:t>ключови за изпълнение на новаторския проект.</w:t>
            </w:r>
          </w:p>
          <w:p w:rsidR="00560904" w:rsidRPr="007D386A" w:rsidRDefault="00A12F7E" w:rsidP="006D66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B0603F" w:rsidRPr="00FF72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B005D" w:rsidRPr="00FF727D">
              <w:rPr>
                <w:rFonts w:ascii="Times New Roman" w:hAnsi="Times New Roman"/>
                <w:sz w:val="24"/>
                <w:szCs w:val="24"/>
              </w:rPr>
              <w:t>Финансовата помощ се предоставя по реда на Закона за подпомагане на земеделските производители и Наредба № 4 от 25 октомври 2024 г.</w:t>
            </w:r>
          </w:p>
        </w:tc>
      </w:tr>
    </w:tbl>
    <w:p w:rsidR="00654D70" w:rsidRPr="004F39ED" w:rsidRDefault="00654D70" w:rsidP="00B9305F">
      <w:pPr>
        <w:jc w:val="center"/>
      </w:pPr>
    </w:p>
    <w:p w:rsidR="00654D70" w:rsidRPr="004F39ED" w:rsidRDefault="00CA4E27" w:rsidP="00E878CB">
      <w:pPr>
        <w:pStyle w:val="Heading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211416833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654D70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Режим на държавна помощ</w:t>
      </w:r>
      <w:bookmarkEnd w:id="6"/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43"/>
      </w:tblGrid>
      <w:tr w:rsidR="00654D70" w:rsidRPr="004F39ED" w:rsidTr="00234D97">
        <w:trPr>
          <w:trHeight w:val="1277"/>
        </w:trPr>
        <w:tc>
          <w:tcPr>
            <w:tcW w:w="9243" w:type="dxa"/>
            <w:vAlign w:val="center"/>
          </w:tcPr>
          <w:p w:rsidR="00893F2B" w:rsidRDefault="00C22EE7" w:rsidP="00270376">
            <w:pPr>
              <w:jc w:val="both"/>
              <w:rPr>
                <w:rFonts w:ascii="Times New Roman" w:hAnsi="Times New Roman"/>
                <w:sz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 xml:space="preserve">1.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 xml:space="preserve">Чрез интервенцията ще се подпомагат и </w:t>
            </w:r>
            <w:r w:rsidR="00D7696B">
              <w:rPr>
                <w:rFonts w:ascii="Times New Roman" w:hAnsi="Times New Roman"/>
                <w:sz w:val="24"/>
                <w:lang w:val="bg-BG"/>
              </w:rPr>
              <w:t>заявления за подпомагане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 xml:space="preserve"> с потенциал за иновации, свързани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с продукти</w:t>
            </w:r>
            <w:r w:rsidR="00D7696B">
              <w:rPr>
                <w:rFonts w:ascii="Times New Roman" w:hAnsi="Times New Roman"/>
                <w:sz w:val="24"/>
                <w:lang w:val="bg-BG"/>
              </w:rPr>
              <w:t>,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 xml:space="preserve"> попадащи извън обхвата на Приложение I на чл. 42 от ДФЕС, които същевременно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 xml:space="preserve">допринасят за постигане на целите на ЕПИ. </w:t>
            </w:r>
          </w:p>
          <w:p w:rsidR="00893F2B" w:rsidRDefault="00C22EE7" w:rsidP="0027037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 xml:space="preserve">2.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Тази подкрепа попада в обхвата на чл. 39 от Регламент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(ЕС) 2022/2472 на Комисията от 14 декември 2022 година относно деклариране на някои категории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помощи в секторите на селското и горското стопанство и в селските райони за съвместими с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936868" w:rsidRPr="00936868">
              <w:rPr>
                <w:rFonts w:ascii="Times New Roman" w:hAnsi="Times New Roman"/>
                <w:sz w:val="24"/>
                <w:lang w:val="bg-BG"/>
              </w:rPr>
              <w:t>вътрешния пазар в приложение на членове 107 и 108 от Договора за функционирането на</w:t>
            </w:r>
            <w:r w:rsidR="00936868">
              <w:rPr>
                <w:rFonts w:ascii="Times New Roman" w:hAnsi="Times New Roman"/>
                <w:sz w:val="24"/>
                <w:lang w:val="bg-BG"/>
              </w:rPr>
              <w:t xml:space="preserve"> </w:t>
            </w:r>
            <w:r w:rsidR="00270376">
              <w:rPr>
                <w:rFonts w:ascii="Times New Roman" w:hAnsi="Times New Roman"/>
                <w:sz w:val="24"/>
                <w:lang w:val="bg-BG"/>
              </w:rPr>
              <w:t>Европейския съюз (текст от значение за ЕИП)</w:t>
            </w:r>
            <w:r w:rsidR="00270376">
              <w:rPr>
                <w:rFonts w:ascii="Times New Roman" w:hAnsi="Times New Roman"/>
                <w:sz w:val="24"/>
              </w:rPr>
              <w:t xml:space="preserve">. </w:t>
            </w:r>
          </w:p>
          <w:p w:rsidR="00A2041C" w:rsidRPr="004F39ED" w:rsidRDefault="00C22EE7" w:rsidP="0027037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 xml:space="preserve">3. </w:t>
            </w:r>
            <w:r w:rsidR="00270376">
              <w:rPr>
                <w:rFonts w:ascii="Times New Roman" w:hAnsi="Times New Roman"/>
                <w:sz w:val="24"/>
                <w:lang w:val="bg-BG"/>
              </w:rPr>
              <w:t>В тази връзка,</w:t>
            </w:r>
            <w:r w:rsidR="00270376" w:rsidRPr="00270376">
              <w:rPr>
                <w:rFonts w:ascii="Times New Roman" w:hAnsi="Times New Roman"/>
                <w:sz w:val="24"/>
                <w:lang w:val="bg-BG"/>
              </w:rPr>
              <w:t xml:space="preserve"> помощите за разходи, направени от предприятия, които участват в проекти на оперативните групи в рамките на ЕПИ, попадащи в обхвата на член 127 от Регламент (ЕС) 2021/2115, са съвместими с вътрешния пазар по смисъла на член 107, параграф 3, буква в) от Договора и са освободени от задължението за уведомяване по член 108, параграф 3 от Договора, ако изпълняват условията, определени в член 39 и в глава I от настоящия регламент.</w:t>
            </w:r>
          </w:p>
        </w:tc>
      </w:tr>
    </w:tbl>
    <w:p w:rsidR="00CE1ADE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211416834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Допустими </w:t>
      </w:r>
      <w:r w:rsidR="00CA452E" w:rsidRPr="004F39ED">
        <w:rPr>
          <w:rFonts w:ascii="Times New Roman" w:hAnsi="Times New Roman" w:cs="Times New Roman"/>
          <w:b/>
          <w:color w:val="auto"/>
          <w:sz w:val="28"/>
          <w:szCs w:val="28"/>
        </w:rPr>
        <w:t>кандидати</w:t>
      </w:r>
      <w:bookmarkEnd w:id="7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234D97">
        <w:trPr>
          <w:trHeight w:val="672"/>
        </w:trPr>
        <w:tc>
          <w:tcPr>
            <w:tcW w:w="9209" w:type="dxa"/>
            <w:vAlign w:val="center"/>
          </w:tcPr>
          <w:p w:rsidR="004D0E6B" w:rsidRDefault="000F035E" w:rsidP="004D0E6B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1. 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За безвъзмездна финансова помощ могат да кандидатстват оперативни групи, учредени като дружества по смисъла на чл. 357 - 364 от Закона за задълженията и договорите (ЗЗД), като участниците в групата сключват договор за дружество по чл. 357 от ЗЗД</w:t>
            </w:r>
            <w:r w:rsidR="004B5930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(Приложение № 1)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, което към датата на подаване на </w:t>
            </w:r>
            <w:r w:rsidR="0070388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заявлението за кандидатстване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следва да е регистрирано в регистър БУЛСТАТ.</w:t>
            </w:r>
          </w:p>
          <w:p w:rsidR="00E34282" w:rsidRDefault="000F035E" w:rsidP="00703881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2. </w:t>
            </w:r>
            <w:r w:rsidR="0070388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Участниците в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оперативната група</w:t>
            </w:r>
            <w:r w:rsid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са най-малко двама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>,</w:t>
            </w:r>
            <w:r w:rsid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и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="00641E60" w:rsidRPr="00641E6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могат да бъдат представители на една или повече от изброените </w:t>
            </w:r>
            <w:r w:rsidR="00641E60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категории допустими участници</w:t>
            </w:r>
            <w:r w:rsidR="00703881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>:</w:t>
            </w:r>
          </w:p>
          <w:p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Земеделски стопани регистрирани съгласно Наредба № 3 от 1999 г. за създаване и поддържане на регистър на земеделските стопани (ДВ, бр. 10 от 1999 г.), в т.ч. групи или организации на производители</w:t>
            </w:r>
            <w:r w:rsidR="000B4300">
              <w:rPr>
                <w:rFonts w:ascii="Times New Roman" w:eastAsia="Times New Roman" w:hAnsi="Times New Roman"/>
                <w:noProof/>
                <w:sz w:val="24"/>
                <w:szCs w:val="24"/>
              </w:rPr>
              <w:t>,</w:t>
            </w: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признати от министъра на земеделието и храните;</w:t>
            </w:r>
          </w:p>
          <w:p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Физически или юридически лица, собственици/ползватели на горски територии, вписани в публичния регистър по чл. 235 или 241 от Закона за горите;</w:t>
            </w:r>
          </w:p>
          <w:p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браншови организации за производство и преработка на селскостопански продукти</w:t>
            </w:r>
            <w:r w:rsidR="00D7696B" w:rsidRPr="00A91898">
              <w:rPr>
                <w:rFonts w:ascii="Times New Roman" w:eastAsia="Times New Roman" w:hAnsi="Times New Roman"/>
                <w:noProof/>
                <w:sz w:val="24"/>
                <w:szCs w:val="24"/>
              </w:rPr>
              <w:t>;</w:t>
            </w:r>
          </w:p>
          <w:p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Научни институти или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 или Закона за Българската академия на </w:t>
            </w: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науките, както и специализирани държавни структури в областта на науката и научните изследвания и анализа и оценката на риска по агрохранителната верига;</w:t>
            </w:r>
          </w:p>
          <w:p w:rsidR="00703881" w:rsidRPr="00AA3C90" w:rsidRDefault="00D71972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Висши училища, акредитирани по Закона за висшето образование с актуални акредитации по професионални направления „Растениевъдство“, „Растителна защита“, „Животновъдство“, „Ветеринарна медицина“, „Горско стопанство“, „Хранителни технологии“, „Биотехнологии“, „Науки за земята“, „Икономика (специалност аграрен бизнес и екои</w:t>
            </w:r>
            <w:r w:rsidR="00F25904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</w:t>
            </w: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номика)“ и професионални гимназии в областта на селското стопанство</w:t>
            </w:r>
            <w:r w:rsidR="00703881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;</w:t>
            </w:r>
          </w:p>
          <w:p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дигиталните/цифрови технологии;</w:t>
            </w:r>
          </w:p>
          <w:p w:rsidR="00703881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Микро, малки и средни предприятия (МСП</w:t>
            </w:r>
            <w:r w:rsidR="00E67E52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) в областта на преработката на селскостопански продукти,</w:t>
            </w:r>
            <w:r w:rsidR="00E67E52">
              <w:t xml:space="preserve"> </w:t>
            </w:r>
            <w:r w:rsidR="00E67E52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посочени в Приложен</w:t>
            </w:r>
            <w:r w:rsidR="0055519E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ие № I от ДФЕС (Приложение № </w:t>
            </w:r>
            <w:r w:rsidR="00E025F9">
              <w:rPr>
                <w:rFonts w:ascii="Times New Roman" w:eastAsia="Times New Roman" w:hAnsi="Times New Roman"/>
                <w:noProof/>
                <w:sz w:val="24"/>
                <w:szCs w:val="24"/>
              </w:rPr>
              <w:t>2</w:t>
            </w:r>
            <w:r w:rsidR="0055519E"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);</w:t>
            </w:r>
          </w:p>
          <w:p w:rsidR="00641E60" w:rsidRPr="00AA3C90" w:rsidRDefault="00703881" w:rsidP="00AA3C90">
            <w:pPr>
              <w:pStyle w:val="ListParagraph"/>
              <w:numPr>
                <w:ilvl w:val="0"/>
                <w:numId w:val="46"/>
              </w:numPr>
              <w:spacing w:after="120"/>
              <w:ind w:left="714" w:hanging="357"/>
              <w:contextualSpacing w:val="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AA3C90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Консултантски организации или индивидуални съветници с предмет на консултантската дейност в областта на селското стопанство или храните или горите в т.ч. НССЗ.</w:t>
            </w:r>
          </w:p>
          <w:p w:rsidR="00703881" w:rsidRDefault="00641E60" w:rsidP="00642D7D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3</w:t>
            </w:r>
            <w:r w:rsidR="00642D7D" w:rsidRP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. Участието на земеделските стопани в </w:t>
            </w:r>
            <w:r w:rsidR="005D39D1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оперативната група</w:t>
            </w:r>
            <w:r w:rsidR="00642D7D" w:rsidRPr="00642D7D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е задължително, с изключение на случаите, когато проектът е свързан с горско стопанство, в който задължително следва да участва физическо или юридическо лице, собственик/ползвател на горски територии, вписани в публичния регистър по чл. 235 или 241 от Закона за горите.</w:t>
            </w:r>
          </w:p>
          <w:p w:rsidR="00C22EE7" w:rsidRDefault="00C22EE7" w:rsidP="00642D7D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4. </w:t>
            </w:r>
            <w:r w:rsidRPr="00C22EE7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Членовете в оперативната група могат да участват в повече от една оперативна група, която представя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заявление за подпомагане</w:t>
            </w:r>
            <w:r w:rsidRPr="00C22EE7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CA1E4C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по</w:t>
            </w:r>
            <w:r w:rsidRPr="00C22EE7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054A89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настоящата</w:t>
            </w:r>
            <w:r w:rsidR="00CA1E4C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процедура</w:t>
            </w:r>
            <w:r w:rsidR="0016040C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.</w:t>
            </w:r>
          </w:p>
          <w:p w:rsidR="00E34282" w:rsidRDefault="00E34282" w:rsidP="0022746C">
            <w:pPr>
              <w:shd w:val="clear" w:color="auto" w:fill="DEEAF6" w:themeFill="accent1" w:themeFillTin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E7DCD" w:rsidRDefault="00C22EE7" w:rsidP="001E7DCD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22746C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E34282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заявлението за подпомагане в СЕУ се посочва информация за </w:t>
            </w:r>
            <w:r w:rsidR="00D430C5"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оперативната група и участниците в нея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054A89">
              <w:rPr>
                <w:rFonts w:ascii="Times New Roman" w:hAnsi="Times New Roman"/>
                <w:sz w:val="24"/>
                <w:szCs w:val="24"/>
              </w:rPr>
              <w:t>Всеки един от членовете на оперативната група задължително определя най-малко едно лице, което да се включи в екипа на оперативната група за целите на проекта</w:t>
            </w: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4B5930" w:rsidRPr="004D0E6B" w:rsidRDefault="00C22EE7" w:rsidP="004B5930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B45FD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>. Условията за допустимост на кандидатите се проверяват служебно. Документите, които трябва да се приложат към заявлението за подпомагане, за да се удостовери допустимостта на кандидата</w:t>
            </w:r>
            <w:r w:rsidR="003F0D65" w:rsidRPr="009358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които не е възможно извършване на служебна проверка</w:t>
            </w:r>
            <w:r w:rsidR="00B45FD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>, са посочени в Раздел 1</w:t>
            </w:r>
            <w:r w:rsidR="00A70822"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B45FD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„Изискуеми документи, в т.ч. документи, доказващи съответствие с критерии за подбор“.</w:t>
            </w:r>
          </w:p>
        </w:tc>
      </w:tr>
    </w:tbl>
    <w:p w:rsidR="00D430C5" w:rsidRDefault="00D430C5" w:rsidP="00D430C5">
      <w:pPr>
        <w:pStyle w:val="Heading1"/>
        <w:tabs>
          <w:tab w:val="left" w:pos="921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211416835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Условия за допустимост на кандидатите</w:t>
      </w:r>
      <w:bookmarkEnd w:id="8"/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</w:p>
    <w:tbl>
      <w:tblPr>
        <w:tblW w:w="91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9"/>
      </w:tblGrid>
      <w:tr w:rsidR="00D430C5" w:rsidTr="00D430C5">
        <w:trPr>
          <w:trHeight w:val="1243"/>
        </w:trPr>
        <w:tc>
          <w:tcPr>
            <w:tcW w:w="9119" w:type="dxa"/>
          </w:tcPr>
          <w:p w:rsidR="00D430C5" w:rsidRPr="00861750" w:rsidRDefault="00D430C5" w:rsidP="00D430C5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D430C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Оперативната група </w:t>
            </w:r>
            <w:r w:rsidRPr="00D430C5">
              <w:rPr>
                <w:rFonts w:ascii="Times New Roman" w:hAnsi="Times New Roman"/>
                <w:sz w:val="24"/>
                <w:szCs w:val="24"/>
              </w:rPr>
              <w:t xml:space="preserve">се сформира за изпълнение на конкретен 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>новаторски</w:t>
            </w:r>
            <w:r w:rsidR="000B4300" w:rsidRPr="00D43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30C5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86175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като това се описва в целите на договор </w:t>
            </w:r>
            <w:r w:rsidR="00861750" w:rsidRPr="00861750">
              <w:rPr>
                <w:rFonts w:ascii="Times New Roman" w:hAnsi="Times New Roman"/>
                <w:sz w:val="24"/>
                <w:szCs w:val="24"/>
                <w:lang w:val="bg-BG"/>
              </w:rPr>
              <w:t>по ЗЗД за сформиране и функциониране на оперативна група</w:t>
            </w:r>
            <w:r w:rsidR="005E58E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ролята в него на всеки един от участниците</w:t>
            </w:r>
            <w:r w:rsidR="0086175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D430C5" w:rsidRDefault="00861750" w:rsidP="00861750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Промяната в членовете</w:t>
            </w:r>
            <w:r w:rsidRPr="0086175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оперативната група след подаване на 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заявлението за подпомагане </w:t>
            </w:r>
            <w:r w:rsidRPr="00861750">
              <w:rPr>
                <w:rFonts w:ascii="Times New Roman" w:hAnsi="Times New Roman"/>
                <w:sz w:val="24"/>
                <w:szCs w:val="24"/>
                <w:lang w:val="bg-BG"/>
              </w:rPr>
              <w:t>може да бъде свързано само с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ъс замяна на конкретен член или с</w:t>
            </w:r>
            <w:r w:rsidRPr="0086175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увеличаване на броя на членовете, които са земеделски 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или горски </w:t>
            </w:r>
            <w:r w:rsidRPr="00861750">
              <w:rPr>
                <w:rFonts w:ascii="Times New Roman" w:hAnsi="Times New Roman"/>
                <w:sz w:val="24"/>
                <w:szCs w:val="24"/>
                <w:lang w:val="bg-BG"/>
              </w:rPr>
              <w:t>стопани.</w:t>
            </w:r>
          </w:p>
          <w:p w:rsidR="000A4CB9" w:rsidRDefault="006C1A3F" w:rsidP="006C1A3F">
            <w:pPr>
              <w:spacing w:after="12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  <w:r w:rsidRPr="009A50BE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3. Земеделските стопани, участници в оперативната група, следва да са регистрирани по реда на Наредба № 3 от 1999 г. за създаване и поддържане на регистър на земеделските стопани (ДВ, бр. 10 от 1999 г.)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55519E" w:rsidRPr="00703881" w:rsidRDefault="00FB1521" w:rsidP="0055519E">
            <w:pPr>
              <w:spacing w:after="12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 w:rsidRPr="00FB152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</w:t>
            </w:r>
            <w:r w:rsidR="0055519E">
              <w:rPr>
                <w:rFonts w:ascii="Times New Roman" w:hAnsi="Times New Roman"/>
                <w:sz w:val="24"/>
                <w:szCs w:val="24"/>
                <w:lang w:val="bg-BG"/>
              </w:rPr>
              <w:t>Участниците в оперативната група по т. 2, буква „ж“</w:t>
            </w:r>
            <w:r w:rsidR="00074D3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раздел 7 „Допустими кандидати“</w:t>
            </w:r>
            <w:r w:rsidR="0055519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следва да имат основен </w:t>
            </w:r>
            <w:r w:rsidR="000B430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или допълнителен </w:t>
            </w:r>
            <w:r w:rsidR="0055519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код на икономическа дейност </w:t>
            </w:r>
            <w:r w:rsidR="0055519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по </w:t>
            </w:r>
            <w:r w:rsidR="0055519E" w:rsidRPr="00386C38">
              <w:rPr>
                <w:rFonts w:ascii="Times New Roman" w:eastAsia="Times New Roman" w:hAnsi="Times New Roman"/>
                <w:noProof/>
                <w:sz w:val="24"/>
                <w:szCs w:val="24"/>
              </w:rPr>
              <w:t>Класификация на икономическите дейности (КИД-</w:t>
            </w:r>
            <w:r w:rsidR="009A50BE" w:rsidRPr="00386C38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2025</w:t>
            </w:r>
            <w:r w:rsidR="0055519E" w:rsidRPr="00386C38">
              <w:rPr>
                <w:rFonts w:ascii="Times New Roman" w:eastAsia="Times New Roman" w:hAnsi="Times New Roman"/>
                <w:noProof/>
                <w:sz w:val="24"/>
                <w:szCs w:val="24"/>
              </w:rPr>
              <w:t>)</w:t>
            </w:r>
            <w:r w:rsidR="000B4300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55519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от Раздел 10 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>„</w:t>
            </w:r>
            <w:r w:rsidR="009A50BE" w:rsidRPr="009A50B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Производство на хранителни продукти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>“</w:t>
            </w:r>
            <w:r w:rsidR="009A50BE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>и</w:t>
            </w:r>
            <w:r w:rsidR="000B4300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ли</w:t>
            </w:r>
            <w:r w:rsidR="009A50B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код 11.02</w:t>
            </w:r>
            <w:r w:rsidR="000B4300">
              <w:rPr>
                <w:lang w:val="bg-BG"/>
              </w:rPr>
              <w:t xml:space="preserve"> </w:t>
            </w:r>
            <w:r w:rsidR="000B4300" w:rsidRPr="009358E8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9A50BE" w:rsidRPr="009A50B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Производство на вина от грозде</w:t>
            </w:r>
            <w:r w:rsidR="009A50BE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>“</w:t>
            </w:r>
            <w:r w:rsidR="009A50BE" w:rsidRPr="00703881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</w:t>
            </w:r>
            <w:r w:rsidR="0055519E" w:rsidRPr="00E67E52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на сектор С </w:t>
            </w:r>
            <w:r w:rsidR="009A50BE" w:rsidRPr="009A50BE"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Преработваща промишленост</w:t>
            </w:r>
            <w:r w:rsidR="009A50BE">
              <w:rPr>
                <w:rFonts w:ascii="Times New Roman" w:eastAsia="Times New Roman" w:hAnsi="Times New Roman"/>
                <w:noProof/>
                <w:sz w:val="24"/>
                <w:szCs w:val="24"/>
                <w:lang w:val="bg-BG"/>
              </w:rPr>
              <w:t xml:space="preserve">. </w:t>
            </w:r>
          </w:p>
          <w:p w:rsidR="0055519E" w:rsidRDefault="0055519E" w:rsidP="006C1A3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Участниците в оперативната група по т. 2, буква „</w:t>
            </w:r>
            <w:r w:rsidR="00074D38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“ от раздел 7 „Допустими кандидати“</w:t>
            </w:r>
            <w:r w:rsidR="00074D38">
              <w:t xml:space="preserve"> 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следва да</w:t>
            </w:r>
            <w:r w:rsidR="00074D38">
              <w:rPr>
                <w:lang w:val="bg-BG"/>
              </w:rPr>
              <w:t xml:space="preserve"> </w:t>
            </w:r>
            <w:r w:rsidR="00074D38" w:rsidRPr="00074D38">
              <w:rPr>
                <w:rFonts w:ascii="Times New Roman" w:hAnsi="Times New Roman"/>
                <w:sz w:val="24"/>
                <w:szCs w:val="24"/>
                <w:lang w:val="bg-BG"/>
              </w:rPr>
              <w:t>извършват консултантска дейност в сферата на селското/горско стопанство или храните.</w:t>
            </w:r>
          </w:p>
          <w:p w:rsidR="00FB1521" w:rsidRPr="007003ED" w:rsidRDefault="00166F07" w:rsidP="005A72A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 </w:t>
            </w:r>
            <w:r w:rsidR="008D467E"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За да бъде одобрено заявлението</w:t>
            </w:r>
            <w:r w:rsidR="00054A89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подпомагане</w:t>
            </w:r>
            <w:r w:rsidR="008D467E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участието </w:t>
            </w:r>
            <w:r w:rsidR="00386C38" w:rsidRPr="00054A8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всеки един от членовете </w:t>
            </w:r>
            <w:r w:rsidR="008D467E" w:rsidRPr="00054A89">
              <w:rPr>
                <w:rFonts w:ascii="Times New Roman" w:hAnsi="Times New Roman"/>
                <w:sz w:val="24"/>
                <w:szCs w:val="24"/>
                <w:lang w:val="bg-BG"/>
              </w:rPr>
              <w:t>в оперативната група следва да бъде надлежно обосновано като необходимо за постигане на целите на новаторския проект.</w:t>
            </w:r>
          </w:p>
        </w:tc>
      </w:tr>
    </w:tbl>
    <w:p w:rsidR="00CA4E27" w:rsidRPr="004F39ED" w:rsidRDefault="00272AA3" w:rsidP="00CA4E27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211416836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9</w:t>
      </w:r>
      <w:r w:rsidR="00CA4E27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Условия за недопустимост на кандидатите</w:t>
      </w:r>
      <w:bookmarkEnd w:id="9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A4E27" w:rsidRPr="004F39ED" w:rsidTr="00234D97">
        <w:trPr>
          <w:trHeight w:val="820"/>
        </w:trPr>
        <w:tc>
          <w:tcPr>
            <w:tcW w:w="9209" w:type="dxa"/>
          </w:tcPr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F49E8" w:rsidRP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Потенциалните кандидати и членовете на оперативната група </w:t>
            </w:r>
            <w:r w:rsidR="00AF49E8" w:rsidRPr="00AF49E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могат</w:t>
            </w:r>
            <w:r w:rsidR="00AF49E8" w:rsidRP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 участват в п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роцедурата за подбор </w:t>
            </w:r>
            <w:r w:rsidR="00AF49E8" w:rsidRPr="00AF49E8">
              <w:rPr>
                <w:rFonts w:ascii="Times New Roman" w:hAnsi="Times New Roman"/>
                <w:sz w:val="24"/>
                <w:szCs w:val="24"/>
                <w:lang w:val="bg-BG"/>
              </w:rPr>
              <w:t>и да получат безвъзмездна финансова помощ, в случай че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1.1</w:t>
            </w:r>
            <w:r w:rsidR="00BF4665" w:rsidRPr="004F39ED">
              <w:rPr>
                <w:rFonts w:ascii="Times New Roman" w:hAnsi="Times New Roman"/>
                <w:sz w:val="24"/>
                <w:szCs w:val="24"/>
              </w:rPr>
              <w:t>.</w:t>
            </w:r>
            <w:r w:rsidR="00C50258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C50258">
              <w:rPr>
                <w:rFonts w:ascii="Times New Roman" w:hAnsi="Times New Roman"/>
                <w:sz w:val="24"/>
                <w:szCs w:val="24"/>
              </w:rPr>
              <w:t xml:space="preserve"> изпълнил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разпореждане на Европейската комисия за възстановяване на предоставената им неправомерна и несъвместима държавна помощ;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F164F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физическо</w:t>
            </w:r>
            <w:r w:rsidR="002B107F" w:rsidRPr="004F39E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лице, представляващо кандидата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членовете на оперативната група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, е налице някое от следните обстоятелства: 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1.2.1. осъден е с влязла в сила присъда, за престъпление по чл. 108а</w:t>
            </w:r>
            <w:proofErr w:type="gramStart"/>
            <w:r w:rsidRPr="004F39ED">
              <w:rPr>
                <w:rFonts w:ascii="Times New Roman" w:hAnsi="Times New Roman"/>
                <w:sz w:val="24"/>
                <w:szCs w:val="24"/>
              </w:rPr>
              <w:t>,  чл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F5872">
              <w:rPr>
                <w:rFonts w:ascii="Times New Roman" w:hAnsi="Times New Roman"/>
                <w:sz w:val="24"/>
                <w:szCs w:val="24"/>
              </w:rPr>
              <w:t>159а -159г</w:t>
            </w:r>
            <w:proofErr w:type="gramStart"/>
            <w:r w:rsidR="00BF5872">
              <w:rPr>
                <w:rFonts w:ascii="Times New Roman" w:hAnsi="Times New Roman"/>
                <w:sz w:val="24"/>
                <w:szCs w:val="24"/>
              </w:rPr>
              <w:t>,  чл</w:t>
            </w:r>
            <w:proofErr w:type="gramEnd"/>
            <w:r w:rsidR="00BF5872">
              <w:rPr>
                <w:rFonts w:ascii="Times New Roman" w:hAnsi="Times New Roman"/>
                <w:sz w:val="24"/>
                <w:szCs w:val="24"/>
              </w:rPr>
              <w:t>. 172, чл. 192а,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чл. 194- 217, чл. 219 – 252, чл. 253 – 260, чл. 301 – 307</w:t>
            </w:r>
            <w:proofErr w:type="gramStart"/>
            <w:r w:rsidRPr="004F39ED">
              <w:rPr>
                <w:rFonts w:ascii="Times New Roman" w:hAnsi="Times New Roman"/>
                <w:sz w:val="24"/>
                <w:szCs w:val="24"/>
              </w:rPr>
              <w:t>,  чл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>. 321, чл. 321а, и чл. 352 - 353е от Наказателния кодекс;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1.2.2. осъден е с влязла в сила присъда, за престъпление, аналогично на тези по т. 1.2.1, в друга държава членка или трета страна;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1.2.3. налице е конфликт на интереси, който не може да бъде отстранен;</w:t>
            </w:r>
          </w:p>
          <w:p w:rsidR="00F735C3" w:rsidRPr="004F39ED" w:rsidRDefault="00C50258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има</w:t>
            </w:r>
            <w:r w:rsidR="00F735C3" w:rsidRPr="004F39E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</w:t>
            </w:r>
            <w:r w:rsidR="00F735C3" w:rsidRPr="007D4255">
              <w:rPr>
                <w:rFonts w:ascii="Times New Roman" w:hAnsi="Times New Roman"/>
                <w:sz w:val="24"/>
                <w:szCs w:val="24"/>
                <w:lang w:val="bg-BG"/>
              </w:rPr>
              <w:t>2, т. 1 от Данъчно-осигурителния процесуален кодекс и лихвите по тях, към държавата или към Столична община или общината по постоянен адрес или седалище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  <w:proofErr w:type="gramStart"/>
            <w:r w:rsidRPr="004F39ED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налице неравнопоставеност, в случаите по чл. 44, ал. 5 от ЗОП;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1.5. е установено с акт на компетентен орган, че: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C50258">
              <w:rPr>
                <w:rFonts w:ascii="Times New Roman" w:hAnsi="Times New Roman"/>
                <w:sz w:val="24"/>
                <w:szCs w:val="24"/>
              </w:rPr>
              <w:t>е представил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б) не </w:t>
            </w:r>
            <w:r w:rsidR="00C50258">
              <w:rPr>
                <w:rFonts w:ascii="Times New Roman" w:hAnsi="Times New Roman"/>
                <w:sz w:val="24"/>
                <w:szCs w:val="24"/>
              </w:rPr>
              <w:t>е предоставил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      </w:r>
          </w:p>
          <w:p w:rsidR="00F735C3" w:rsidRPr="004F39ED" w:rsidRDefault="00F735C3" w:rsidP="002B107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1.6. </w:t>
            </w:r>
            <w:proofErr w:type="gramStart"/>
            <w:r w:rsidRPr="004F39ED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 xml:space="preserve"> установено с влязло в сила наказателно постановление или съдебно решение, нарушение на чл. 61, ал. 1, чл. 62, ал.</w:t>
            </w:r>
            <w:r w:rsidR="00BF5872">
              <w:rPr>
                <w:rFonts w:ascii="Times New Roman" w:hAnsi="Times New Roman"/>
                <w:sz w:val="24"/>
                <w:szCs w:val="24"/>
              </w:rPr>
              <w:t xml:space="preserve"> 1 или 3, чл. 63, ал. 1 или 2,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чл. 118, чл. 128, чл. 228,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lastRenderedPageBreak/>
              <w:t>ал. 3, чл. 245 и чл. 301 - 305 от Кодекса на труда или на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</w:t>
            </w:r>
            <w:r w:rsidR="002B107F" w:rsidRPr="004F39ED">
              <w:rPr>
                <w:rFonts w:ascii="Times New Roman" w:hAnsi="Times New Roman"/>
                <w:sz w:val="24"/>
                <w:szCs w:val="24"/>
              </w:rPr>
              <w:t>оято кандидатите са установени;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2. Изискванията по т. 1.3  не се прилагат, когато размерът на неплатените дължими данъци или социално</w:t>
            </w:r>
            <w:r w:rsidR="002B107F" w:rsidRPr="004F39ED">
              <w:rPr>
                <w:rFonts w:ascii="Times New Roman" w:hAnsi="Times New Roman"/>
                <w:sz w:val="24"/>
                <w:szCs w:val="24"/>
              </w:rPr>
              <w:t>-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осигурителни вноски е не повече от 1 на сто от сумата на годишния общ оборот за последната приключена финансова година, но не повече от 50 000 лeвa.</w:t>
            </w:r>
          </w:p>
          <w:p w:rsidR="00F735C3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3. Изпълнението на изискванията по т. 1 се проверяват служебно, с изключение на:</w:t>
            </w:r>
          </w:p>
          <w:p w:rsidR="00F164F1" w:rsidRPr="004F39ED" w:rsidRDefault="00F164F1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AD9">
              <w:rPr>
                <w:rFonts w:ascii="Times New Roman" w:hAnsi="Times New Roman"/>
                <w:sz w:val="24"/>
                <w:szCs w:val="24"/>
              </w:rPr>
              <w:t>3.1 липсата на задължения от общината по седалищ</w:t>
            </w:r>
            <w:r w:rsidR="00E2316B">
              <w:rPr>
                <w:rFonts w:ascii="Times New Roman" w:hAnsi="Times New Roman"/>
                <w:sz w:val="24"/>
                <w:szCs w:val="24"/>
              </w:rPr>
              <w:t>е на кандидат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/членовете на оперативната група</w:t>
            </w:r>
            <w:r w:rsidR="00E2316B">
              <w:rPr>
                <w:rFonts w:ascii="Times New Roman" w:hAnsi="Times New Roman"/>
                <w:sz w:val="24"/>
                <w:szCs w:val="24"/>
              </w:rPr>
              <w:t>, което се доказва</w:t>
            </w:r>
            <w:r w:rsidRPr="00305AD9">
              <w:rPr>
                <w:rFonts w:ascii="Times New Roman" w:hAnsi="Times New Roman"/>
                <w:sz w:val="24"/>
                <w:szCs w:val="24"/>
              </w:rPr>
              <w:t xml:space="preserve"> от задължените лица с удостоверение, издаден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  <w:r w:rsidRPr="00305AD9">
              <w:rPr>
                <w:rFonts w:ascii="Times New Roman" w:hAnsi="Times New Roman"/>
                <w:sz w:val="24"/>
                <w:szCs w:val="24"/>
              </w:rPr>
              <w:t xml:space="preserve"> от съответната община.</w:t>
            </w:r>
          </w:p>
          <w:p w:rsidR="00F735C3" w:rsidRPr="004F39ED" w:rsidRDefault="002B107F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3.</w:t>
            </w:r>
            <w:r w:rsidR="00F164F1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F735C3" w:rsidRPr="004F39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F735C3" w:rsidRPr="004F39ED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="00F735C3" w:rsidRPr="004F39ED">
              <w:rPr>
                <w:rFonts w:ascii="Times New Roman" w:hAnsi="Times New Roman"/>
                <w:sz w:val="24"/>
                <w:szCs w:val="24"/>
              </w:rPr>
              <w:t xml:space="preserve"> обстоятелствата по т. 1.2.3,  т. 1.4 и т.1.5 - с </w:t>
            </w:r>
            <w:r w:rsidR="00F735C3" w:rsidRPr="001E7DCD">
              <w:rPr>
                <w:rFonts w:ascii="Times New Roman" w:hAnsi="Times New Roman"/>
                <w:sz w:val="24"/>
                <w:szCs w:val="24"/>
                <w:lang w:val="bg-BG"/>
              </w:rPr>
              <w:t>декларация (</w:t>
            </w:r>
            <w:r w:rsidR="00F735C3" w:rsidRPr="001E7DCD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E025F9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</w:t>
            </w:r>
            <w:r w:rsidR="00F735C3" w:rsidRPr="006A54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4. Основанията за отстраняване по т. 1. се прилагат до изтичане на следните срокове: 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4.1.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proofErr w:type="gramStart"/>
            <w:r w:rsidRPr="004F39ED">
              <w:rPr>
                <w:rFonts w:ascii="Times New Roman" w:hAnsi="Times New Roman"/>
                <w:sz w:val="24"/>
                <w:szCs w:val="24"/>
              </w:rPr>
              <w:t>пет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години от влизането в сила на присъдата по отношение на обстоятелства по т.  1.2.1 и 1.2.2, освен ако в присъдата е посочен друг срок на наказанието;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proofErr w:type="gramStart"/>
            <w:r w:rsidRPr="004F39ED">
              <w:rPr>
                <w:rFonts w:ascii="Times New Roman" w:hAnsi="Times New Roman"/>
                <w:sz w:val="24"/>
                <w:szCs w:val="24"/>
              </w:rPr>
              <w:t>три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години от влизането в сила на акт на компетентните органи съгласно законодателството на държавата, в която е извършено нарушението, по отношение на обстоятелства по т. 1.5. </w:t>
            </w:r>
            <w:proofErr w:type="gramStart"/>
            <w:r w:rsidRPr="004F39ED">
              <w:rPr>
                <w:rFonts w:ascii="Times New Roman" w:hAnsi="Times New Roman"/>
                <w:sz w:val="24"/>
                <w:szCs w:val="24"/>
              </w:rPr>
              <w:t>буква</w:t>
            </w:r>
            <w:proofErr w:type="gramEnd"/>
            <w:r w:rsidRPr="004F39ED">
              <w:rPr>
                <w:rFonts w:ascii="Times New Roman" w:hAnsi="Times New Roman"/>
                <w:sz w:val="24"/>
                <w:szCs w:val="24"/>
              </w:rPr>
              <w:t xml:space="preserve"> „а“  или т. 1.6.</w:t>
            </w:r>
          </w:p>
          <w:p w:rsidR="00F735C3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5. Кандида</w:t>
            </w:r>
            <w:r w:rsidR="00B14B56">
              <w:rPr>
                <w:rFonts w:ascii="Times New Roman" w:hAnsi="Times New Roman"/>
                <w:sz w:val="24"/>
                <w:szCs w:val="24"/>
              </w:rPr>
              <w:t>т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членове на оперативната група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, за ко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то е налице обстоятелство п</w:t>
            </w:r>
            <w:r w:rsidR="00B14B56">
              <w:rPr>
                <w:rFonts w:ascii="Times New Roman" w:hAnsi="Times New Roman"/>
                <w:sz w:val="24"/>
                <w:szCs w:val="24"/>
              </w:rPr>
              <w:t>о т. 1 от настоящия раздел, има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право да представ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ят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доказателства при подаване на заявлението за подпомагане или в срок до 10 дни от получаване на уведомление  за констатираните обстоятелства по т. 1, че 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B14B56">
              <w:rPr>
                <w:rFonts w:ascii="Times New Roman" w:hAnsi="Times New Roman"/>
                <w:sz w:val="24"/>
                <w:szCs w:val="24"/>
              </w:rPr>
              <w:t xml:space="preserve"> предприел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 действия за тяхното отстраняване съгласно чл. 56 от ЗОП.</w:t>
            </w:r>
          </w:p>
          <w:p w:rsidR="00CA4E27" w:rsidRPr="004F39ED" w:rsidRDefault="00F735C3" w:rsidP="00F735C3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6. Не се дава предимство, а даденото предимство се отнема в случаите, когато бъде установено, че кандидатът е създал изкуствено условията, необходими за получаване на това предимство, в противоречие с целите на европейското право и действащото законодателство в областта на селското стопанство.</w:t>
            </w:r>
          </w:p>
        </w:tc>
      </w:tr>
    </w:tbl>
    <w:p w:rsidR="00CE1ADE" w:rsidRPr="004F39ED" w:rsidRDefault="00272AA3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211416837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10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Допустими дейности</w:t>
      </w:r>
      <w:bookmarkEnd w:id="10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4A7ED9">
        <w:trPr>
          <w:trHeight w:val="411"/>
        </w:trPr>
        <w:tc>
          <w:tcPr>
            <w:tcW w:w="9209" w:type="dxa"/>
          </w:tcPr>
          <w:p w:rsidR="00650CCE" w:rsidRPr="00650CCE" w:rsidRDefault="00650CCE" w:rsidP="00AA3C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="000A4CB9" w:rsidRPr="000A4CB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 процедурата се подкрепят </w:t>
            </w:r>
            <w:r w:rsidR="00FA32BB" w:rsidRPr="00934D45">
              <w:rPr>
                <w:rFonts w:ascii="Times New Roman" w:hAnsi="Times New Roman"/>
                <w:sz w:val="24"/>
                <w:szCs w:val="24"/>
                <w:lang w:val="bg-BG"/>
              </w:rPr>
              <w:t>новатор</w:t>
            </w:r>
            <w:r w:rsidR="005D5067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="00FA32BB" w:rsidRPr="00934D4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ки </w:t>
            </w:r>
            <w:r w:rsidR="00FA32BB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проекти</w:t>
            </w:r>
            <w:r w:rsidRPr="00CC05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="005D5067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включващи</w:t>
            </w:r>
            <w:r w:rsidR="005D506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следните дейности</w:t>
            </w: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650CCE" w:rsidRPr="00650CCE" w:rsidRDefault="00650CCE" w:rsidP="00AA3C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а) </w:t>
            </w:r>
            <w:r w:rsidR="000D7762">
              <w:rPr>
                <w:rFonts w:ascii="Times New Roman" w:hAnsi="Times New Roman"/>
                <w:sz w:val="24"/>
                <w:szCs w:val="24"/>
                <w:lang w:val="bg-BG"/>
              </w:rPr>
              <w:t>о</w:t>
            </w:r>
            <w:r w:rsidR="000D7762"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съществяване </w:t>
            </w: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сътрудничеството във връзка с изпълнение на </w:t>
            </w:r>
            <w:r w:rsidR="00FA32B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новаторския </w:t>
            </w:r>
            <w:r w:rsidRPr="00650CC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проект; </w:t>
            </w:r>
          </w:p>
          <w:p w:rsidR="00650CCE" w:rsidRPr="000A4CB9" w:rsidRDefault="00FA32BB" w:rsidP="00AA3C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Pr="000D7762"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="00650CCE" w:rsidRPr="000D7762">
              <w:rPr>
                <w:rFonts w:ascii="Times New Roman" w:hAnsi="Times New Roman"/>
                <w:sz w:val="24"/>
                <w:szCs w:val="24"/>
                <w:lang w:val="bg-BG"/>
              </w:rPr>
              <w:t>реки дейности за и</w:t>
            </w:r>
            <w:r w:rsidR="000A4CB9" w:rsidRPr="000D776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зпълнение на </w:t>
            </w:r>
            <w:r w:rsidRPr="000D7762"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</w:t>
            </w:r>
            <w:r w:rsidR="000A4CB9" w:rsidRPr="000D776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проект;</w:t>
            </w:r>
          </w:p>
          <w:p w:rsidR="000D7762" w:rsidRPr="00DB4DAF" w:rsidRDefault="00E32EDD" w:rsidP="00AA3C9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в) </w:t>
            </w:r>
            <w:r w:rsidR="00FA32BB" w:rsidRPr="00FA32BB">
              <w:rPr>
                <w:rFonts w:ascii="Times New Roman" w:hAnsi="Times New Roman"/>
                <w:sz w:val="24"/>
                <w:szCs w:val="24"/>
                <w:lang w:val="bg-BG"/>
              </w:rPr>
              <w:t>дейности, свързани с разпространение на резултатите от проекта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</w:tbl>
    <w:p w:rsidR="00CE1ADE" w:rsidRPr="004F39ED" w:rsidRDefault="00CA4E27" w:rsidP="002053DF">
      <w:pPr>
        <w:pStyle w:val="Heading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211416838"/>
      <w:r w:rsidRPr="00D63741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CE1ADE" w:rsidRPr="00D63741">
        <w:rPr>
          <w:rFonts w:ascii="Times New Roman" w:hAnsi="Times New Roman" w:cs="Times New Roman"/>
          <w:b/>
          <w:color w:val="auto"/>
          <w:sz w:val="28"/>
          <w:szCs w:val="28"/>
        </w:rPr>
        <w:t>. Условия за допустимост на дейностите</w:t>
      </w:r>
      <w:r w:rsidR="00D65705" w:rsidRPr="00D637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в т.ч. срок за изпълнение на </w:t>
      </w:r>
      <w:r w:rsidR="00457A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одобрените </w:t>
      </w:r>
      <w:r w:rsidR="004067B1" w:rsidRPr="004067B1">
        <w:rPr>
          <w:rFonts w:ascii="Times New Roman" w:hAnsi="Times New Roman" w:cs="Times New Roman"/>
          <w:b/>
          <w:color w:val="auto"/>
          <w:sz w:val="28"/>
          <w:szCs w:val="28"/>
        </w:rPr>
        <w:t>заявления за подпомагане</w:t>
      </w:r>
      <w:r w:rsidR="004067B1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bookmarkEnd w:id="11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234D97">
        <w:tc>
          <w:tcPr>
            <w:tcW w:w="9209" w:type="dxa"/>
          </w:tcPr>
          <w:p w:rsidR="009A283E" w:rsidRPr="009A283E" w:rsidRDefault="009A283E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51694B"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Допустимите за подпомагане дейности в рамките на интервенцията следва да са свързани с производството, преработката и/или маркетинга на продукти, включени в Анекс № 1 на Договора за функциониране на Европейския съюз (ДФЕС) или памук, с изключение на риба и рибни продукти и/или с продукти в т.ч. отпадъчни или странични </w:t>
            </w:r>
            <w:r w:rsidRPr="009A283E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продукти получени в резултат на производството и/или преработката на продукти, включени в Анекс № 1 на ДФЕС.</w:t>
            </w:r>
          </w:p>
          <w:p w:rsidR="009A283E" w:rsidRDefault="009A283E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 xml:space="preserve">Допустими за подпомагане са и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заявления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>, включващи дейности, чиито краен продукт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>попада извън обхвата на Анекс I от ДФЕС, при условие, че включват земеделски и/или горски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>стопани, участващи в оперативната група и са насочени към постигане на една или няколко от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A283E">
              <w:rPr>
                <w:rFonts w:ascii="Times New Roman" w:hAnsi="Times New Roman"/>
                <w:sz w:val="24"/>
                <w:szCs w:val="24"/>
              </w:rPr>
              <w:t>специфичните цели, адресирани в Стратегическия план.</w:t>
            </w:r>
          </w:p>
          <w:p w:rsidR="009A283E" w:rsidRPr="00FF2285" w:rsidRDefault="00AF4E56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>Финансова помощ не се предоставя, ако за конкретна дейност</w:t>
            </w:r>
            <w:r w:rsidR="000D7762">
              <w:rPr>
                <w:rFonts w:ascii="Times New Roman" w:hAnsi="Times New Roman"/>
                <w:sz w:val="24"/>
                <w:szCs w:val="24"/>
                <w:lang w:val="bg-BG"/>
              </w:rPr>
              <w:t>, предвидена в заявлението,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 xml:space="preserve"> кандидатът или член на оперативната група е получил публична финансова помощ от държавния бюджет или от бюджета на Европейския съюз</w:t>
            </w:r>
            <w:r w:rsidR="00FF2285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AF4E56" w:rsidRDefault="00AF4E56" w:rsidP="009A283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</w:t>
            </w:r>
            <w:r w:rsidR="00CD393F" w:rsidRPr="00AF4E56">
              <w:rPr>
                <w:rFonts w:ascii="Times New Roman" w:hAnsi="Times New Roman"/>
                <w:sz w:val="24"/>
                <w:szCs w:val="24"/>
              </w:rPr>
              <w:t>За да подлежат на подпомагане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>, о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 xml:space="preserve">перативните групи представят 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 за </w:t>
            </w:r>
            <w:r w:rsidR="009B2458">
              <w:rPr>
                <w:rFonts w:ascii="Times New Roman" w:hAnsi="Times New Roman"/>
                <w:sz w:val="24"/>
                <w:szCs w:val="24"/>
                <w:lang w:val="bg-BG"/>
              </w:rPr>
              <w:t>новаторски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проект</w:t>
            </w:r>
            <w:r w:rsidRPr="00AF4E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05A3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E025F9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0D7762" w:rsidRPr="00CC05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CD28B8">
              <w:rPr>
                <w:rFonts w:ascii="Times New Roman" w:hAnsi="Times New Roman"/>
                <w:sz w:val="24"/>
                <w:szCs w:val="24"/>
                <w:lang w:val="bg-BG"/>
              </w:rPr>
              <w:t>Инфо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р</w:t>
            </w:r>
            <w:r w:rsidR="00CD28B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мацията в новаторския проект следва да отговаря на изискването за </w:t>
            </w:r>
            <w:r w:rsidR="00FF228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минимално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съдържание, как</w:t>
            </w:r>
            <w:r w:rsidR="00CD28B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то е описано във всеки раздел на 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образеца</w:t>
            </w:r>
            <w:r w:rsidR="00865C9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A270EF" w:rsidRDefault="00A270EF" w:rsidP="00A270EF">
            <w:pPr>
              <w:spacing w:after="12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</w:t>
            </w:r>
            <w:r w:rsidR="003D77FA">
              <w:rPr>
                <w:rFonts w:ascii="Times New Roman" w:hAnsi="Times New Roman"/>
                <w:sz w:val="24"/>
                <w:szCs w:val="24"/>
                <w:lang w:val="bg-BG"/>
              </w:rPr>
              <w:t>Дейности</w:t>
            </w:r>
            <w:r w:rsidR="00CC05A3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="003D77F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съответните</w:t>
            </w:r>
            <w:r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разходи, предвидени в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 проект</w:t>
            </w:r>
            <w:r w:rsidRPr="00A270EF">
              <w:rPr>
                <w:rFonts w:ascii="Times New Roman" w:hAnsi="Times New Roman"/>
                <w:sz w:val="24"/>
                <w:szCs w:val="24"/>
                <w:lang w:val="bg-BG"/>
              </w:rPr>
              <w:t>, трябва да бъдат подробно обосновани в съответствие със заложените цели</w:t>
            </w:r>
            <w:r w:rsidR="003D77F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>
              <w:t xml:space="preserve"> </w:t>
            </w:r>
          </w:p>
          <w:p w:rsidR="000D7762" w:rsidRPr="00A270EF" w:rsidRDefault="00A270EF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0EF">
              <w:rPr>
                <w:rFonts w:ascii="Times New Roman" w:hAnsi="Times New Roman"/>
                <w:lang w:val="bg-BG"/>
              </w:rPr>
              <w:t>6</w:t>
            </w:r>
            <w:r>
              <w:rPr>
                <w:lang w:val="bg-BG"/>
              </w:rPr>
              <w:t>.</w:t>
            </w:r>
            <w:r w:rsidR="004A1CFA">
              <w:rPr>
                <w:lang w:val="bg-BG"/>
              </w:rPr>
              <w:t xml:space="preserve"> </w:t>
            </w:r>
            <w:r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Предвидените дейности следва да отговарят на принципите за добро финансово управление - икономичност, ефикасност и ефективност на вложените средства съгласно чл. 33 на Регламент (ЕС, Евратом) № 2018/1046 на Европейския парламент и на Съвета: </w:t>
            </w:r>
          </w:p>
          <w:p w:rsidR="00A270EF" w:rsidRPr="00A270EF" w:rsidRDefault="000D7762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а) </w:t>
            </w:r>
            <w:r w:rsidR="00A270EF"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принципът на икономичност изисква ресурсите за осъществяване на дейностите да бъдат осигурени своевременно, в подходящо количество и качество и при най-добра цена; </w:t>
            </w:r>
          </w:p>
          <w:p w:rsidR="00A270EF" w:rsidRPr="00A270EF" w:rsidRDefault="000D7762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="00A270EF" w:rsidRPr="00A270E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принципът на ефикасност се отнася до най-доброто съотношение между използваните ресурси и постигнатите резултати; </w:t>
            </w:r>
          </w:p>
          <w:p w:rsidR="00A270EF" w:rsidRDefault="000D7762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в) </w:t>
            </w:r>
            <w:r w:rsidR="00A270EF" w:rsidRPr="00A270EF">
              <w:rPr>
                <w:rFonts w:ascii="Times New Roman" w:hAnsi="Times New Roman"/>
                <w:sz w:val="24"/>
                <w:szCs w:val="24"/>
                <w:lang w:val="bg-BG"/>
              </w:rPr>
              <w:t>принципът на ефективност се отнася до осъществяването на набелязаните конкретни цели и постигането на планираните резултати.ултати по проекта.</w:t>
            </w:r>
          </w:p>
          <w:p w:rsidR="00281916" w:rsidRDefault="00281916" w:rsidP="00A270E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7. </w:t>
            </w:r>
            <w:r w:rsidRPr="00281916">
              <w:rPr>
                <w:rFonts w:ascii="Times New Roman" w:hAnsi="Times New Roman"/>
                <w:sz w:val="24"/>
                <w:szCs w:val="24"/>
                <w:lang w:val="bg-BG"/>
              </w:rPr>
              <w:t>Дейностите се изпълняват върху недвижим/и имот/и – собственост на оперативната група или член на оперативната група, а когато същите не са собственост на оперативната група или член на оперативната група, към проектите се прилага документ за ползване на имота/ите или споразумение за ползване по чл.37в и чл.37ж от ЗСПЗЗ (за земеделски площи), свързан/и с дейности в обхвата на преки неинвестиционни разходи.</w:t>
            </w:r>
          </w:p>
          <w:p w:rsidR="00CC05A3" w:rsidRDefault="00281916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  <w:r w:rsidR="00A270EF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Дейностите,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свързани с разпространение на резултатите от проекта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т. 1, буква „в“ от раздел </w:t>
            </w:r>
            <w:r w:rsidR="004A1CFA" w:rsidRPr="004A1CF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10.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4A1CFA" w:rsidRPr="004A1CFA">
              <w:rPr>
                <w:rFonts w:ascii="Times New Roman" w:hAnsi="Times New Roman"/>
                <w:sz w:val="24"/>
                <w:szCs w:val="24"/>
                <w:lang w:val="bg-BG"/>
              </w:rPr>
              <w:t>Допустими дейности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, трябва да съответстват на к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омуникационен план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, който да съдържа най-малко следната информация:</w:t>
            </w:r>
          </w:p>
          <w:p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Цел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дейностите за разпространение на резултатите;</w:t>
            </w:r>
          </w:p>
          <w:p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Целеви групи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:rsid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в) 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Комуникационни канали;</w:t>
            </w:r>
          </w:p>
          <w:p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г)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Информационни и комуникационни средства и методи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Дейности и необходими ресурси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:rsidR="00F15EAC" w:rsidRPr="00F15EAC" w:rsidRDefault="000D7762" w:rsidP="00601E3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План за действие – времеви график за изпълнение на комуникационния план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:rsidR="009C75F5" w:rsidRDefault="000D7762" w:rsidP="00601E35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ж) </w:t>
            </w:r>
            <w:r w:rsidR="00F15EAC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Индикатори за изпълнение</w:t>
            </w:r>
            <w:r w:rsidR="00F15EA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поставената цел.</w:t>
            </w:r>
          </w:p>
          <w:p w:rsidR="00A970FF" w:rsidRPr="00E025F9" w:rsidRDefault="00281916" w:rsidP="00AF4E56">
            <w:pPr>
              <w:spacing w:after="120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AF4E56" w:rsidRPr="00AF4E56">
              <w:rPr>
                <w:rFonts w:ascii="Times New Roman" w:hAnsi="Times New Roman"/>
                <w:sz w:val="24"/>
                <w:szCs w:val="24"/>
              </w:rPr>
              <w:t xml:space="preserve">За да </w:t>
            </w:r>
            <w:r w:rsidR="00AF4E56" w:rsidRPr="00CC05A3">
              <w:rPr>
                <w:rFonts w:ascii="Times New Roman" w:hAnsi="Times New Roman"/>
                <w:sz w:val="24"/>
                <w:szCs w:val="24"/>
              </w:rPr>
              <w:t xml:space="preserve">подлежат на подпомагане кандидатите представят финансов план по образец съгласно Приложение № </w:t>
            </w:r>
            <w:r w:rsidR="00E025F9" w:rsidRPr="00CC05A3"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0D7762" w:rsidRPr="00CC05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F4E56" w:rsidRPr="00CC05A3">
              <w:rPr>
                <w:rFonts w:ascii="Times New Roman" w:hAnsi="Times New Roman"/>
                <w:sz w:val="24"/>
                <w:szCs w:val="24"/>
              </w:rPr>
              <w:t xml:space="preserve">който </w:t>
            </w:r>
            <w:r w:rsidR="00AF4E56" w:rsidRPr="00AF4E56">
              <w:rPr>
                <w:rFonts w:ascii="Times New Roman" w:hAnsi="Times New Roman"/>
                <w:sz w:val="24"/>
                <w:szCs w:val="24"/>
              </w:rPr>
              <w:t xml:space="preserve">съдържа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планирани разходи, свързани с описаните </w:t>
            </w:r>
            <w:r w:rsidR="00CD393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 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</w:t>
            </w:r>
            <w:r w:rsidR="004A1CFA">
              <w:rPr>
                <w:rFonts w:ascii="Times New Roman" w:hAnsi="Times New Roman"/>
                <w:sz w:val="24"/>
                <w:szCs w:val="24"/>
                <w:lang w:val="bg-BG"/>
              </w:rPr>
              <w:t>новаторския проект</w:t>
            </w:r>
            <w:r w:rsidR="00AF4E5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F4E56" w:rsidRPr="00AF4E56">
              <w:rPr>
                <w:rFonts w:ascii="Times New Roman" w:hAnsi="Times New Roman"/>
                <w:sz w:val="24"/>
                <w:szCs w:val="24"/>
              </w:rPr>
              <w:t xml:space="preserve">за периода на изпълнение. </w:t>
            </w:r>
          </w:p>
          <w:p w:rsidR="00A970FF" w:rsidRPr="00C2275A" w:rsidRDefault="00281916" w:rsidP="00AF4E56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10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AF4E56" w:rsidRPr="00C2275A">
              <w:rPr>
                <w:rFonts w:ascii="Times New Roman" w:hAnsi="Times New Roman"/>
                <w:sz w:val="24"/>
                <w:szCs w:val="24"/>
              </w:rPr>
              <w:t xml:space="preserve">Данните във финансовия план трябва да съответстват на данните, посочени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раздел 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AF49E8">
              <w:rPr>
                <w:rFonts w:ascii="Times New Roman" w:hAnsi="Times New Roman"/>
                <w:sz w:val="24"/>
                <w:szCs w:val="24"/>
                <w:lang w:val="bg-BG"/>
              </w:rPr>
              <w:t>Заявени разходи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CC05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заявлението за подпомагане </w:t>
            </w:r>
            <w:r w:rsidR="00A970FF" w:rsidRPr="00C2275A">
              <w:rPr>
                <w:rFonts w:ascii="Times New Roman" w:hAnsi="Times New Roman"/>
                <w:sz w:val="24"/>
                <w:szCs w:val="24"/>
                <w:lang w:val="bg-BG"/>
              </w:rPr>
              <w:t>в СЕУ.</w:t>
            </w:r>
          </w:p>
          <w:p w:rsidR="00155308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Финансова помощ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не 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 предоставя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за д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ейности, свързани с преработка и/или маркетинг на риба и рибни продукти.</w:t>
            </w:r>
          </w:p>
          <w:p w:rsidR="00155308" w:rsidRDefault="0012269E" w:rsidP="00462E80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Финансова помощ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 предоставя за проекти, включващи дейности, които отговарят на Европейското и национално законодателство.</w:t>
            </w:r>
          </w:p>
          <w:p w:rsidR="0019475A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9475A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>. Финансова помощ се предоставя за проекти, включващи дейности, които отговарят на разпоредбите на Закона за опазване на околната среда, Закона за биологичното разнообразие или/и Закона за водите.</w:t>
            </w:r>
          </w:p>
          <w:p w:rsidR="00155308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. Финансова помощ се предоставя за дейности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извършени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след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сключване на административният договор.</w:t>
            </w:r>
          </w:p>
          <w:p w:rsidR="00155308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ED19F3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19475A" w:rsidRPr="00194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Финансова помощ се предоставя </w:t>
            </w:r>
            <w:r w:rsidR="0019475A">
              <w:rPr>
                <w:rFonts w:ascii="Times New Roman" w:hAnsi="Times New Roman"/>
                <w:sz w:val="24"/>
                <w:szCs w:val="24"/>
                <w:lang w:val="bg-BG"/>
              </w:rPr>
              <w:t>за д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ейности, които допринасят за внедряване на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>новаторски</w:t>
            </w:r>
            <w:r w:rsidR="00761719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решения за преодоляване на проблеми от полза за земеделските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или горските </w:t>
            </w:r>
            <w:r w:rsidR="00155308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стопани, участващи в оперативната група.</w:t>
            </w:r>
          </w:p>
          <w:p w:rsidR="00CD393F" w:rsidRPr="00ED19F3" w:rsidRDefault="00281916" w:rsidP="00155308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D19F3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ED19F3" w:rsidRPr="00ED19F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CD393F" w:rsidRPr="00ED19F3">
              <w:rPr>
                <w:rFonts w:ascii="Times New Roman" w:hAnsi="Times New Roman"/>
                <w:sz w:val="24"/>
                <w:szCs w:val="24"/>
                <w:lang w:val="bg-BG"/>
              </w:rPr>
              <w:t>Чрез интервенцията няма да се подпомагат фундаментални научни изследвания или индивидуални научноизследователски проекти.</w:t>
            </w:r>
          </w:p>
          <w:p w:rsidR="005804DA" w:rsidRDefault="00281916" w:rsidP="00FA382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17</w:t>
            </w:r>
            <w:r w:rsidR="00466882" w:rsidRPr="004668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>Одобрен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ото заявление за подпомагане 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>се изпълнява в срок до 3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B34DB0">
              <w:rPr>
                <w:rFonts w:ascii="Times New Roman" w:hAnsi="Times New Roman"/>
                <w:sz w:val="24"/>
                <w:szCs w:val="24"/>
                <w:lang w:val="bg-BG"/>
              </w:rPr>
              <w:t>месеца</w:t>
            </w:r>
            <w:r w:rsidR="00B34DB0" w:rsidRPr="00B34DB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датата на подписване на административния договор</w:t>
            </w:r>
            <w:r w:rsidR="00FA382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Крайният срок за изпълнение на одобрените заявления за подпомагане е не по-късно от 3</w:t>
            </w:r>
            <w:r w:rsidR="00DD27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0 септември 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2029 г. </w:t>
            </w:r>
          </w:p>
          <w:p w:rsidR="000D7762" w:rsidRDefault="00281916" w:rsidP="00FA382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18</w:t>
            </w:r>
            <w:r w:rsid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0D7762" w:rsidRPr="00F15EAC">
              <w:rPr>
                <w:rFonts w:ascii="Times New Roman" w:hAnsi="Times New Roman"/>
                <w:sz w:val="24"/>
                <w:szCs w:val="24"/>
                <w:lang w:val="bg-BG"/>
              </w:rPr>
              <w:t>Прекратяването на дейностите по проекта е допустимо и преди крайния срок, в случай, че решението за прекратяване е надлежно обосновано от оперативната група и са уведомени Управляващия орган и Разплащателна агенция.</w:t>
            </w:r>
          </w:p>
          <w:p w:rsidR="00506412" w:rsidRDefault="00506412" w:rsidP="00AA3C90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506412" w:rsidRDefault="00281916" w:rsidP="00AA3C90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19</w:t>
            </w:r>
            <w:r w:rsidR="00506412" w:rsidRP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Не се подпомагат заявления, които не включват одобрени разходи за дейности по т. 1, буква „б“ от Раздел </w:t>
            </w:r>
            <w:r w:rsidR="0050641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10 </w:t>
            </w:r>
            <w:r w:rsidR="00506412" w:rsidRPr="00AA3C90">
              <w:rPr>
                <w:rFonts w:ascii="Times New Roman" w:hAnsi="Times New Roman"/>
                <w:sz w:val="24"/>
                <w:szCs w:val="24"/>
                <w:lang w:val="bg-BG"/>
              </w:rPr>
              <w:t>„Допустими дейности“.</w:t>
            </w:r>
          </w:p>
          <w:p w:rsidR="00761719" w:rsidRPr="00AA3C90" w:rsidRDefault="00281916" w:rsidP="00281916">
            <w:pPr>
              <w:shd w:val="clear" w:color="auto" w:fill="DEEAF6" w:themeFill="accent1" w:themeFillTint="33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20</w:t>
            </w:r>
            <w:r w:rsidR="00761719" w:rsidRPr="0076171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761719" w:rsidRPr="00443A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Финансова помощ </w:t>
            </w:r>
            <w:r w:rsidR="00443AE0" w:rsidRPr="00443A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не </w:t>
            </w:r>
            <w:r w:rsidR="00761719" w:rsidRPr="00443AE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 предоставя в рамките на тази процедура на идентични проекти, подадени от различни оперативни групи. При наличие на идентични проекти, допустимо за участие в процедурата е </w:t>
            </w:r>
            <w:r w:rsidR="00E70C48" w:rsidRPr="00443AE0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</w:t>
            </w:r>
            <w:r w:rsidR="00761719" w:rsidRPr="00443AE0">
              <w:rPr>
                <w:rFonts w:ascii="Times New Roman" w:hAnsi="Times New Roman"/>
                <w:sz w:val="24"/>
                <w:szCs w:val="24"/>
                <w:lang w:val="bg-BG"/>
              </w:rPr>
              <w:t>, получило по-голям брой точки по критериите за подбор на проекти.</w:t>
            </w:r>
          </w:p>
        </w:tc>
      </w:tr>
    </w:tbl>
    <w:p w:rsidR="008E779A" w:rsidRPr="004F39ED" w:rsidRDefault="008E779A" w:rsidP="008E779A">
      <w:pPr>
        <w:rPr>
          <w:rFonts w:ascii="Times New Roman" w:eastAsiaTheme="majorEastAsia" w:hAnsi="Times New Roman"/>
          <w:b/>
          <w:sz w:val="28"/>
          <w:szCs w:val="28"/>
        </w:rPr>
      </w:pPr>
    </w:p>
    <w:p w:rsidR="00CE1ADE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211416839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Допустими разходи</w:t>
      </w:r>
      <w:bookmarkEnd w:id="12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234D97">
        <w:tc>
          <w:tcPr>
            <w:tcW w:w="9209" w:type="dxa"/>
            <w:shd w:val="clear" w:color="auto" w:fill="auto"/>
          </w:tcPr>
          <w:p w:rsidR="00845A4C" w:rsidRPr="00845A4C" w:rsidRDefault="009E73A8" w:rsidP="00DD281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B34DB0">
              <w:rPr>
                <w:rFonts w:ascii="Times New Roman" w:hAnsi="Times New Roman"/>
                <w:b/>
                <w:sz w:val="24"/>
                <w:szCs w:val="24"/>
              </w:rPr>
              <w:t>Разходи за о</w:t>
            </w:r>
            <w:r w:rsidR="00845A4C" w:rsidRPr="001864E7">
              <w:rPr>
                <w:rFonts w:ascii="Times New Roman" w:hAnsi="Times New Roman"/>
                <w:b/>
                <w:sz w:val="24"/>
                <w:szCs w:val="24"/>
              </w:rPr>
              <w:t xml:space="preserve">съществяване на сътрудничеството във връзка с изпълнение на </w:t>
            </w:r>
            <w:r w:rsidR="001864E7">
              <w:rPr>
                <w:rFonts w:ascii="Times New Roman" w:hAnsi="Times New Roman"/>
                <w:b/>
                <w:sz w:val="24"/>
                <w:szCs w:val="24"/>
              </w:rPr>
              <w:t>новаторския</w:t>
            </w:r>
            <w:r w:rsidR="00845A4C" w:rsidRPr="001864E7">
              <w:rPr>
                <w:rFonts w:ascii="Times New Roman" w:hAnsi="Times New Roman"/>
                <w:b/>
                <w:sz w:val="24"/>
                <w:szCs w:val="24"/>
              </w:rPr>
              <w:t xml:space="preserve"> проект</w:t>
            </w:r>
            <w:r w:rsidR="00845A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7736" w:rsidRPr="00AA3C90" w:rsidRDefault="009E73A8" w:rsidP="00DD281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61719">
              <w:rPr>
                <w:rFonts w:ascii="Times New Roman" w:hAnsi="Times New Roman"/>
                <w:sz w:val="24"/>
                <w:szCs w:val="24"/>
              </w:rPr>
              <w:t>)</w:t>
            </w:r>
            <w:r w:rsidR="001A70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8CD">
              <w:rPr>
                <w:rFonts w:ascii="Times New Roman" w:hAnsi="Times New Roman"/>
                <w:sz w:val="24"/>
                <w:szCs w:val="24"/>
              </w:rPr>
              <w:t xml:space="preserve">възнаграждения </w:t>
            </w:r>
            <w:r w:rsidR="00C738A7">
              <w:rPr>
                <w:rFonts w:ascii="Times New Roman" w:hAnsi="Times New Roman"/>
                <w:sz w:val="24"/>
                <w:szCs w:val="24"/>
              </w:rPr>
              <w:t>за координатор на проекта</w:t>
            </w:r>
            <w:r w:rsidR="003E78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A626C" w:rsidRPr="00FA626C" w:rsidRDefault="009E73A8" w:rsidP="00AA3C90">
            <w:pPr>
              <w:pStyle w:val="ListParagraph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761719">
              <w:rPr>
                <w:rFonts w:ascii="Times New Roman" w:hAnsi="Times New Roman"/>
                <w:sz w:val="24"/>
                <w:szCs w:val="24"/>
              </w:rPr>
              <w:t>)</w:t>
            </w:r>
            <w:r w:rsidR="0020773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3E78CD">
              <w:rPr>
                <w:rFonts w:ascii="Times New Roman" w:hAnsi="Times New Roman"/>
                <w:sz w:val="24"/>
                <w:szCs w:val="24"/>
              </w:rPr>
              <w:t xml:space="preserve">административни </w:t>
            </w:r>
            <w:r w:rsidR="00C738A7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="00AB1F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59D">
              <w:rPr>
                <w:rFonts w:ascii="Times New Roman" w:hAnsi="Times New Roman"/>
                <w:sz w:val="24"/>
                <w:szCs w:val="24"/>
              </w:rPr>
              <w:t>в размер на 15 на сто от разходите за възнаграждения</w:t>
            </w:r>
            <w:r w:rsidR="0020773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207736">
              <w:rPr>
                <w:rFonts w:ascii="Times New Roman" w:hAnsi="Times New Roman"/>
                <w:sz w:val="24"/>
                <w:szCs w:val="24"/>
              </w:rPr>
              <w:t>по т. 1</w:t>
            </w:r>
            <w:r w:rsidR="003E78CD">
              <w:rPr>
                <w:rFonts w:ascii="Times New Roman" w:hAnsi="Times New Roman"/>
                <w:sz w:val="24"/>
                <w:szCs w:val="24"/>
              </w:rPr>
              <w:t>, буква „а“</w:t>
            </w:r>
            <w:r w:rsidR="00F27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F17">
              <w:rPr>
                <w:rFonts w:ascii="Times New Roman" w:hAnsi="Times New Roman"/>
                <w:sz w:val="24"/>
                <w:szCs w:val="24"/>
              </w:rPr>
              <w:t>под формата на единна ставка</w:t>
            </w:r>
            <w:r w:rsidR="00FA626C" w:rsidRPr="00FA626C">
              <w:rPr>
                <w:rFonts w:ascii="Times New Roman" w:hAnsi="Times New Roman"/>
                <w:sz w:val="24"/>
                <w:szCs w:val="24"/>
              </w:rPr>
              <w:t xml:space="preserve"> на основание чл. 83, пар. 1, буква „г“ от Регламент (ЕС) 2021/2115.</w:t>
            </w:r>
          </w:p>
          <w:p w:rsidR="00A37748" w:rsidRDefault="00A37748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:rsidR="00CF17CC" w:rsidRPr="00502EDF" w:rsidRDefault="009E73A8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F17CC" w:rsidRPr="00502EDF">
              <w:rPr>
                <w:rFonts w:ascii="Times New Roman" w:hAnsi="Times New Roman"/>
                <w:b/>
                <w:sz w:val="24"/>
                <w:szCs w:val="24"/>
              </w:rPr>
              <w:t>. Преки неинвестиционни разходи за изпълнение на новаторския проект:</w:t>
            </w:r>
          </w:p>
          <w:p w:rsidR="00CF17CC" w:rsidRPr="00CF17CC" w:rsidRDefault="00CF17CC" w:rsidP="00CF17C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възнаграждения, включително здравни и осигурителни вноски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сметка на работодателя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 за лица, които участват в изпълнението на проекта </w:t>
            </w:r>
            <w:r w:rsidR="008C6F31">
              <w:rPr>
                <w:rFonts w:ascii="Times New Roman" w:hAnsi="Times New Roman"/>
                <w:sz w:val="24"/>
                <w:szCs w:val="24"/>
              </w:rPr>
              <w:t xml:space="preserve">(екип)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и са наети на трудово</w:t>
            </w:r>
            <w:r w:rsidR="007D2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служебно правоотношение </w:t>
            </w:r>
            <w:r w:rsidR="007D25E7">
              <w:rPr>
                <w:rFonts w:ascii="Times New Roman" w:hAnsi="Times New Roman"/>
                <w:sz w:val="24"/>
                <w:szCs w:val="24"/>
              </w:rPr>
              <w:t xml:space="preserve">или с граждански договор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от член на оперативната група; </w:t>
            </w:r>
          </w:p>
          <w:p w:rsidR="00CF17CC" w:rsidRPr="00F605B9" w:rsidRDefault="00CF17CC" w:rsidP="00CF17C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lastRenderedPageBreak/>
              <w:t>б) разходи за командировки, съгласно Наредбата за командировките в страната, приета с Постановление № 72 на Министерския съвет от 1986 г. (ДВ, бр. 11 от 1987 г.) за лица, които участват в изпълнението на проекта и са наети на трудово или на служебно правоотношение от член на оперативната група във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връзка с изпълнение на проекта</w:t>
            </w:r>
            <w:r w:rsidR="003B159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r w:rsidR="003B1599">
              <w:rPr>
                <w:rFonts w:ascii="Times New Roman" w:hAnsi="Times New Roman"/>
                <w:sz w:val="24"/>
                <w:szCs w:val="24"/>
              </w:rPr>
              <w:t xml:space="preserve">както и за членовете на оперативната група, когато вземат участие в информационни събития или </w:t>
            </w:r>
            <w:r w:rsidR="00C25F94">
              <w:rPr>
                <w:rFonts w:ascii="Times New Roman" w:hAnsi="Times New Roman"/>
                <w:sz w:val="24"/>
                <w:szCs w:val="24"/>
              </w:rPr>
              <w:t>други</w:t>
            </w:r>
            <w:r w:rsidR="003B1599">
              <w:rPr>
                <w:rFonts w:ascii="Times New Roman" w:hAnsi="Times New Roman"/>
                <w:sz w:val="24"/>
                <w:szCs w:val="24"/>
              </w:rPr>
              <w:t xml:space="preserve"> дейности </w:t>
            </w:r>
            <w:r w:rsidR="00C25F94">
              <w:rPr>
                <w:rFonts w:ascii="Times New Roman" w:hAnsi="Times New Roman"/>
                <w:sz w:val="24"/>
                <w:szCs w:val="24"/>
              </w:rPr>
              <w:t>в</w:t>
            </w:r>
            <w:r w:rsidR="003B1599">
              <w:rPr>
                <w:rFonts w:ascii="Times New Roman" w:hAnsi="Times New Roman"/>
                <w:sz w:val="24"/>
                <w:szCs w:val="24"/>
              </w:rPr>
              <w:t xml:space="preserve"> изпълнение на новаторския проект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17CC" w:rsidRPr="00CF17CC" w:rsidRDefault="00CF17CC" w:rsidP="00CF17C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t xml:space="preserve">в) разходи за предоставени от членовете на </w:t>
            </w:r>
            <w:r w:rsidR="008C6F31">
              <w:rPr>
                <w:rFonts w:ascii="Times New Roman" w:hAnsi="Times New Roman"/>
                <w:sz w:val="24"/>
                <w:szCs w:val="24"/>
              </w:rPr>
              <w:t>о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перативната група за нуждите по проекта – земеделска техника, машини, сгради, оборудване и земеделски площи;</w:t>
            </w:r>
          </w:p>
          <w:p w:rsidR="00CF17CC" w:rsidRPr="00CF17CC" w:rsidRDefault="00CF17CC" w:rsidP="00CF17C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t>г) разходи за закупуване на препарати за растителна защита, торове, семена, посеве</w:t>
            </w:r>
            <w:r w:rsidR="00726E59">
              <w:rPr>
                <w:rFonts w:ascii="Times New Roman" w:hAnsi="Times New Roman"/>
                <w:sz w:val="24"/>
                <w:szCs w:val="24"/>
              </w:rPr>
              <w:t>н и посадъчен материал, фуражи</w:t>
            </w:r>
            <w:r w:rsidR="00726E5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медикаменти</w:t>
            </w:r>
            <w:r w:rsidR="00726E5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726E59">
              <w:rPr>
                <w:rFonts w:ascii="Times New Roman" w:hAnsi="Times New Roman"/>
                <w:sz w:val="24"/>
                <w:szCs w:val="24"/>
              </w:rPr>
              <w:t>и лабораторно оборудване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335B" w:rsidRDefault="00CF17CC" w:rsidP="0071438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7CC">
              <w:rPr>
                <w:rFonts w:ascii="Times New Roman" w:hAnsi="Times New Roman"/>
                <w:sz w:val="24"/>
                <w:szCs w:val="24"/>
              </w:rPr>
              <w:t>д) разходи за услуги - проучвания, анализи</w:t>
            </w:r>
            <w:r w:rsidR="000A3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35B" w:rsidRPr="000A335B">
              <w:rPr>
                <w:rFonts w:ascii="Times New Roman" w:hAnsi="Times New Roman"/>
                <w:sz w:val="24"/>
                <w:szCs w:val="24"/>
              </w:rPr>
              <w:t>(вкл. свързани със софтуер),</w:t>
            </w:r>
            <w:r w:rsidRPr="00CF17CC">
              <w:rPr>
                <w:rFonts w:ascii="Times New Roman" w:hAnsi="Times New Roman"/>
                <w:sz w:val="24"/>
                <w:szCs w:val="24"/>
              </w:rPr>
              <w:t xml:space="preserve"> изследвания, проучвания за осъществимост, тестове, както и др</w:t>
            </w:r>
            <w:r w:rsidR="00714381">
              <w:rPr>
                <w:rFonts w:ascii="Times New Roman" w:hAnsi="Times New Roman"/>
                <w:sz w:val="24"/>
                <w:szCs w:val="24"/>
              </w:rPr>
              <w:t>уги дейности свързани с проекта.</w:t>
            </w:r>
          </w:p>
          <w:p w:rsidR="00714381" w:rsidRPr="00714381" w:rsidRDefault="00714381" w:rsidP="0071438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8A7" w:rsidRPr="00C25F94" w:rsidRDefault="009E73A8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F168A" w:rsidRPr="00C25F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738A7" w:rsidRPr="00C25F94">
              <w:rPr>
                <w:rFonts w:ascii="Times New Roman" w:hAnsi="Times New Roman"/>
                <w:b/>
                <w:sz w:val="24"/>
                <w:szCs w:val="24"/>
              </w:rPr>
              <w:t xml:space="preserve"> Преки разходи</w:t>
            </w:r>
            <w:r w:rsidR="00CF168A" w:rsidRPr="00C25F9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738A7" w:rsidRPr="00C25F94">
              <w:rPr>
                <w:b/>
              </w:rPr>
              <w:t xml:space="preserve"> </w:t>
            </w:r>
            <w:r w:rsidR="00C738A7" w:rsidRPr="00C25F94">
              <w:rPr>
                <w:rFonts w:ascii="Times New Roman" w:hAnsi="Times New Roman"/>
                <w:b/>
                <w:sz w:val="24"/>
                <w:szCs w:val="24"/>
              </w:rPr>
              <w:t>необходими за изпълнение на новаторския проект, приложими за следните активи:</w:t>
            </w:r>
          </w:p>
          <w:p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C25F94">
              <w:rPr>
                <w:rFonts w:ascii="Times New Roman" w:hAnsi="Times New Roman"/>
                <w:sz w:val="24"/>
                <w:szCs w:val="24"/>
              </w:rPr>
              <w:t xml:space="preserve">изработка на 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>софтуер и право на ползване на софтуер;</w:t>
            </w:r>
          </w:p>
          <w:p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>б) компютри и периферни устройства за тях;</w:t>
            </w:r>
          </w:p>
          <w:p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в) мобилни устройства – таблети и дронове; </w:t>
            </w:r>
          </w:p>
          <w:p w:rsidR="00C738A7" w:rsidRPr="00523064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други </w:t>
            </w:r>
            <w:r w:rsidR="00C25F94" w:rsidRPr="00C25F94">
              <w:rPr>
                <w:rFonts w:ascii="Times New Roman" w:hAnsi="Times New Roman"/>
                <w:sz w:val="24"/>
                <w:szCs w:val="24"/>
              </w:rPr>
              <w:t>цифрови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 xml:space="preserve"> устройства;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738A7" w:rsidRDefault="00C738A7" w:rsidP="00C738A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064">
              <w:rPr>
                <w:rFonts w:ascii="Times New Roman" w:hAnsi="Times New Roman"/>
                <w:sz w:val="24"/>
                <w:szCs w:val="24"/>
              </w:rPr>
              <w:t xml:space="preserve">д) специфично оборудване и/или апаратура, която е обоснована като ключова за </w:t>
            </w:r>
            <w:r>
              <w:rPr>
                <w:rFonts w:ascii="Times New Roman" w:hAnsi="Times New Roman"/>
                <w:sz w:val="24"/>
                <w:szCs w:val="24"/>
              </w:rPr>
              <w:t>постигане</w:t>
            </w:r>
            <w:r w:rsidRPr="00523064">
              <w:rPr>
                <w:rFonts w:ascii="Times New Roman" w:hAnsi="Times New Roman"/>
                <w:sz w:val="24"/>
                <w:szCs w:val="24"/>
              </w:rPr>
              <w:t xml:space="preserve"> на целите по проекта.</w:t>
            </w:r>
          </w:p>
          <w:p w:rsidR="00C25F94" w:rsidRDefault="00C25F94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247" w:rsidRPr="00C25F94" w:rsidRDefault="009E73A8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F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D632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4D632A" w:rsidRPr="004D632A">
              <w:rPr>
                <w:rFonts w:ascii="Times New Roman" w:hAnsi="Times New Roman"/>
                <w:b/>
                <w:sz w:val="24"/>
                <w:szCs w:val="24"/>
              </w:rPr>
              <w:t>азходи за разпространение на резултатите от проекта:</w:t>
            </w:r>
          </w:p>
          <w:p w:rsidR="003E78CD" w:rsidRPr="009249C7" w:rsidRDefault="003E78CD" w:rsidP="003E7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а) р</w:t>
            </w:r>
            <w:r w:rsidRPr="009249C7">
              <w:rPr>
                <w:rFonts w:ascii="Times New Roman" w:hAnsi="Times New Roman"/>
                <w:sz w:val="24"/>
                <w:szCs w:val="24"/>
              </w:rPr>
              <w:t>азходи за създаване и поддържане на електронна страница;</w:t>
            </w:r>
          </w:p>
          <w:p w:rsidR="003E78CD" w:rsidRDefault="003E78CD" w:rsidP="003E7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б) р</w:t>
            </w:r>
            <w:r w:rsidRPr="009249C7">
              <w:rPr>
                <w:rFonts w:ascii="Times New Roman" w:hAnsi="Times New Roman"/>
                <w:sz w:val="24"/>
                <w:szCs w:val="24"/>
              </w:rPr>
              <w:t xml:space="preserve">азходи за изработване на </w:t>
            </w:r>
            <w:r w:rsidRPr="00950B39">
              <w:rPr>
                <w:rFonts w:ascii="Times New Roman" w:hAnsi="Times New Roman"/>
                <w:sz w:val="24"/>
                <w:szCs w:val="24"/>
              </w:rPr>
              <w:t>информационни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рекламни</w:t>
            </w:r>
            <w:r w:rsidRPr="00950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9C7">
              <w:rPr>
                <w:rFonts w:ascii="Times New Roman" w:hAnsi="Times New Roman"/>
                <w:sz w:val="24"/>
                <w:szCs w:val="24"/>
              </w:rPr>
              <w:t>материали;</w:t>
            </w:r>
          </w:p>
          <w:p w:rsidR="00C20F06" w:rsidRPr="00C20F06" w:rsidRDefault="00C20F06" w:rsidP="003E78CD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в) разходи за провеждане на информационни семинари и конференции;</w:t>
            </w:r>
          </w:p>
          <w:p w:rsidR="003E78CD" w:rsidRPr="009249C7" w:rsidRDefault="00C20F06" w:rsidP="003E7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г</w:t>
            </w:r>
            <w:r w:rsidR="003E78CD">
              <w:rPr>
                <w:rFonts w:ascii="Times New Roman" w:hAnsi="Times New Roman"/>
                <w:sz w:val="24"/>
                <w:szCs w:val="24"/>
                <w:lang w:val="bg-BG"/>
              </w:rPr>
              <w:t>) р</w:t>
            </w:r>
            <w:r w:rsidR="003E78CD" w:rsidRPr="009249C7">
              <w:rPr>
                <w:rFonts w:ascii="Times New Roman" w:hAnsi="Times New Roman"/>
                <w:sz w:val="24"/>
                <w:szCs w:val="24"/>
              </w:rPr>
              <w:t>азходи за публикации или излъчвания в национални или регионални медии;</w:t>
            </w:r>
          </w:p>
          <w:p w:rsidR="00E54BD2" w:rsidRDefault="00C20F06" w:rsidP="00AA3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</w:t>
            </w:r>
            <w:r w:rsidR="003E78CD">
              <w:rPr>
                <w:rFonts w:ascii="Times New Roman" w:hAnsi="Times New Roman"/>
                <w:sz w:val="24"/>
                <w:szCs w:val="24"/>
                <w:lang w:val="bg-BG"/>
              </w:rPr>
              <w:t>) р</w:t>
            </w:r>
            <w:r w:rsidR="003E78CD" w:rsidRPr="009249C7">
              <w:rPr>
                <w:rFonts w:ascii="Times New Roman" w:hAnsi="Times New Roman"/>
                <w:sz w:val="24"/>
                <w:szCs w:val="24"/>
              </w:rPr>
              <w:t>азходи за излъчвания в социални медии.</w:t>
            </w:r>
          </w:p>
          <w:p w:rsidR="003E78CD" w:rsidRDefault="003E78CD" w:rsidP="00AA3C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78CD" w:rsidRDefault="003E78CD" w:rsidP="00AA3C9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:</w:t>
            </w:r>
          </w:p>
          <w:p w:rsidR="003E78CD" w:rsidRDefault="003E78CD" w:rsidP="00AA3C9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Допустими са само обосновани разходи във връзка с изпълнение на дейностите на оперативната група, </w:t>
            </w:r>
            <w:r w:rsidRPr="001033A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свързани с постигане на очакваните резултати, включени в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за подпомагане.</w:t>
            </w:r>
          </w:p>
          <w:p w:rsidR="003E78CD" w:rsidRPr="00AA3C90" w:rsidRDefault="003E78CD" w:rsidP="00AA3C90">
            <w:pPr>
              <w:widowControl w:val="0"/>
              <w:shd w:val="clear" w:color="auto" w:fill="DEEAF6" w:themeFill="accent1" w:themeFillTint="33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1247" w:rsidRDefault="0079124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211416840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 Условия за допустимост на разходите</w:t>
      </w:r>
      <w:bookmarkEnd w:id="13"/>
    </w:p>
    <w:tbl>
      <w:tblPr>
        <w:tblW w:w="9221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1"/>
      </w:tblGrid>
      <w:tr w:rsidR="00791247" w:rsidTr="00791247">
        <w:trPr>
          <w:trHeight w:val="456"/>
        </w:trPr>
        <w:tc>
          <w:tcPr>
            <w:tcW w:w="9221" w:type="dxa"/>
          </w:tcPr>
          <w:p w:rsidR="00DD0871" w:rsidRPr="00E02065" w:rsidRDefault="00DD0871" w:rsidP="00DD0871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Финансовата помощ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 </w:t>
            </w:r>
            <w:r w:rsidR="00FC5207">
              <w:rPr>
                <w:rFonts w:ascii="Times New Roman" w:hAnsi="Times New Roman"/>
                <w:sz w:val="24"/>
                <w:szCs w:val="24"/>
              </w:rPr>
              <w:t>предоставя под формата на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 възстановяване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действително направ</w:t>
            </w:r>
            <w:r>
              <w:rPr>
                <w:rFonts w:ascii="Times New Roman" w:hAnsi="Times New Roman"/>
                <w:sz w:val="24"/>
                <w:szCs w:val="24"/>
              </w:rPr>
              <w:t>ени и платени допустими разходи,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 финансиране на амортизационни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отчисления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прилагане на стандартна таблица на разходите за единица продукт и финансиране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>единна ставка, определено чрез прилагане на процент към една или няколко определени категории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915">
              <w:rPr>
                <w:rFonts w:ascii="Times New Roman" w:hAnsi="Times New Roman"/>
                <w:sz w:val="24"/>
                <w:szCs w:val="24"/>
              </w:rPr>
              <w:t xml:space="preserve">разходи. </w:t>
            </w:r>
          </w:p>
          <w:p w:rsidR="0051006A" w:rsidRPr="0051006A" w:rsidRDefault="00C65656" w:rsidP="0051006A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 xml:space="preserve">. Разходите са допустими, ако </w:t>
            </w:r>
            <w:r w:rsidR="00F70018">
              <w:rPr>
                <w:rFonts w:ascii="Times New Roman" w:hAnsi="Times New Roman"/>
                <w:sz w:val="24"/>
                <w:szCs w:val="24"/>
              </w:rPr>
              <w:t>са предвидени във финансовия план</w:t>
            </w:r>
            <w:r w:rsidR="008C6F31">
              <w:rPr>
                <w:rFonts w:ascii="Times New Roman" w:hAnsi="Times New Roman"/>
                <w:sz w:val="24"/>
                <w:szCs w:val="24"/>
              </w:rPr>
              <w:t xml:space="preserve"> и заявлението за подпомагане в СЕУ</w:t>
            </w:r>
            <w:r w:rsidR="00F70018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 xml:space="preserve">дейностите </w:t>
            </w:r>
            <w:r w:rsidR="00F70018">
              <w:rPr>
                <w:rFonts w:ascii="Times New Roman" w:hAnsi="Times New Roman"/>
                <w:sz w:val="24"/>
                <w:szCs w:val="24"/>
              </w:rPr>
              <w:t xml:space="preserve">свързани с тях 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 xml:space="preserve">са извършени след подписване на договора за предоставяне на БФП и в срока за изпълнение на </w:t>
            </w:r>
            <w:r w:rsidR="00A75156"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0871" w:rsidRDefault="00C65656" w:rsidP="0051006A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t xml:space="preserve">. Разходите следва да са планирани и изпълнени в съответствие с принципите за добро финансово управление съгласно Регламент (ЕС, Евратом) 2024/2509 на Европейския </w:t>
            </w:r>
            <w:r w:rsidR="0051006A" w:rsidRPr="0051006A">
              <w:rPr>
                <w:rFonts w:ascii="Times New Roman" w:hAnsi="Times New Roman"/>
                <w:sz w:val="24"/>
                <w:szCs w:val="24"/>
              </w:rPr>
              <w:lastRenderedPageBreak/>
              <w:t>парламент и на Съвета от 23 септември 2024 година за финансовите правила, приложими за общия бюджет на Съюза.</w:t>
            </w:r>
          </w:p>
          <w:p w:rsidR="00C536C2" w:rsidRDefault="00C65656" w:rsidP="00324526">
            <w:pPr>
              <w:pStyle w:val="ListParagraph"/>
              <w:spacing w:before="240" w:after="12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536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536C2" w:rsidRPr="00C536C2">
              <w:rPr>
                <w:rFonts w:ascii="Times New Roman" w:hAnsi="Times New Roman"/>
                <w:sz w:val="24"/>
                <w:szCs w:val="24"/>
              </w:rPr>
              <w:t xml:space="preserve">Разходите са допустими, ако са направени от </w:t>
            </w:r>
            <w:r w:rsidR="00C536C2">
              <w:rPr>
                <w:rFonts w:ascii="Times New Roman" w:hAnsi="Times New Roman"/>
                <w:sz w:val="24"/>
                <w:szCs w:val="24"/>
              </w:rPr>
              <w:t>оперативната група или от член на оперативната група</w:t>
            </w:r>
            <w:r w:rsidR="00EC5B79">
              <w:rPr>
                <w:rFonts w:ascii="Times New Roman" w:hAnsi="Times New Roman"/>
                <w:sz w:val="24"/>
                <w:szCs w:val="24"/>
              </w:rPr>
              <w:t xml:space="preserve"> и са извършени в срока за изпълнение съгласно административния договор</w:t>
            </w:r>
            <w:r w:rsidR="00C536C2" w:rsidRPr="00C536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1247" w:rsidRPr="008F2878" w:rsidRDefault="0051006A" w:rsidP="00324526">
            <w:pPr>
              <w:pStyle w:val="ListParagraph"/>
              <w:spacing w:after="12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D0871">
              <w:rPr>
                <w:rFonts w:ascii="Times New Roman" w:hAnsi="Times New Roman"/>
                <w:sz w:val="24"/>
                <w:szCs w:val="24"/>
              </w:rPr>
              <w:t>.</w:t>
            </w:r>
            <w:r w:rsidR="00791247" w:rsidRPr="00A96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25B" w:rsidRPr="00A96393">
              <w:rPr>
                <w:rFonts w:ascii="Times New Roman" w:hAnsi="Times New Roman"/>
                <w:sz w:val="24"/>
                <w:szCs w:val="24"/>
              </w:rPr>
              <w:t xml:space="preserve">Разходите за възнаграждения </w:t>
            </w:r>
            <w:r w:rsidR="00A96393" w:rsidRPr="00A96393">
              <w:rPr>
                <w:rFonts w:ascii="Times New Roman" w:hAnsi="Times New Roman"/>
                <w:sz w:val="24"/>
                <w:szCs w:val="24"/>
              </w:rPr>
              <w:t xml:space="preserve">на координатора </w:t>
            </w:r>
            <w:r w:rsidR="00B81749" w:rsidRPr="006113E1">
              <w:rPr>
                <w:rFonts w:ascii="Times New Roman" w:hAnsi="Times New Roman"/>
                <w:sz w:val="24"/>
                <w:szCs w:val="24"/>
              </w:rPr>
              <w:t>по т. 1</w:t>
            </w:r>
            <w:r w:rsidR="00EC5B79">
              <w:rPr>
                <w:rFonts w:ascii="Times New Roman" w:hAnsi="Times New Roman"/>
                <w:sz w:val="24"/>
                <w:szCs w:val="24"/>
              </w:rPr>
              <w:t>, буква „а“</w:t>
            </w:r>
            <w:r w:rsidR="00B81749" w:rsidRPr="006113E1">
              <w:rPr>
                <w:rFonts w:ascii="Times New Roman" w:hAnsi="Times New Roman"/>
                <w:sz w:val="24"/>
                <w:szCs w:val="24"/>
              </w:rPr>
              <w:t xml:space="preserve"> от раздел 1</w:t>
            </w:r>
            <w:r w:rsidR="008F76DC" w:rsidRPr="006113E1">
              <w:rPr>
                <w:rFonts w:ascii="Times New Roman" w:hAnsi="Times New Roman"/>
                <w:sz w:val="24"/>
                <w:szCs w:val="24"/>
              </w:rPr>
              <w:t>2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F2759D" w:rsidRPr="00714381">
              <w:rPr>
                <w:rFonts w:ascii="Times New Roman" w:hAnsi="Times New Roman"/>
                <w:sz w:val="24"/>
                <w:szCs w:val="24"/>
              </w:rPr>
              <w:t>Допустими разходи“</w:t>
            </w:r>
            <w:r w:rsidR="00B81749" w:rsidRPr="00714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 xml:space="preserve">не могат да надвишават </w:t>
            </w:r>
            <w:r w:rsidR="00D213D6" w:rsidRPr="00714381">
              <w:rPr>
                <w:rFonts w:ascii="Times New Roman" w:hAnsi="Times New Roman"/>
                <w:sz w:val="24"/>
                <w:szCs w:val="24"/>
              </w:rPr>
              <w:t xml:space="preserve">размерът на три минимални работни заплати </w:t>
            </w:r>
            <w:r w:rsidR="00506412" w:rsidRPr="00714381">
              <w:rPr>
                <w:rFonts w:ascii="Times New Roman" w:hAnsi="Times New Roman"/>
                <w:sz w:val="24"/>
                <w:szCs w:val="24"/>
              </w:rPr>
              <w:t>към които се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412" w:rsidRPr="00714381">
              <w:rPr>
                <w:rFonts w:ascii="Times New Roman" w:hAnsi="Times New Roman"/>
                <w:sz w:val="24"/>
                <w:szCs w:val="24"/>
              </w:rPr>
              <w:t xml:space="preserve">включват и </w:t>
            </w:r>
            <w:r w:rsidR="0018229F" w:rsidRPr="00714381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="00506412" w:rsidRPr="00714381">
              <w:rPr>
                <w:rFonts w:ascii="Times New Roman" w:hAnsi="Times New Roman"/>
                <w:sz w:val="24"/>
                <w:szCs w:val="24"/>
              </w:rPr>
              <w:t>те за осигуровки за сметка на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 xml:space="preserve"> работодателя, </w:t>
            </w:r>
            <w:r w:rsidR="004247AE" w:rsidRPr="00714381">
              <w:rPr>
                <w:rFonts w:ascii="Times New Roman" w:hAnsi="Times New Roman"/>
                <w:sz w:val="24"/>
                <w:szCs w:val="24"/>
              </w:rPr>
              <w:t>при условие</w:t>
            </w:r>
            <w:r w:rsidR="00F2759D" w:rsidRPr="00714381">
              <w:rPr>
                <w:rFonts w:ascii="Times New Roman" w:hAnsi="Times New Roman"/>
                <w:sz w:val="24"/>
                <w:szCs w:val="24"/>
              </w:rPr>
              <w:t>,</w:t>
            </w:r>
            <w:r w:rsidR="004247AE" w:rsidRPr="00714381">
              <w:rPr>
                <w:rFonts w:ascii="Times New Roman" w:hAnsi="Times New Roman"/>
                <w:sz w:val="24"/>
                <w:szCs w:val="24"/>
              </w:rPr>
              <w:t xml:space="preserve"> че лицето е </w:t>
            </w:r>
            <w:r w:rsidR="00B1425B" w:rsidRPr="00714381">
              <w:rPr>
                <w:rFonts w:ascii="Times New Roman" w:hAnsi="Times New Roman"/>
                <w:sz w:val="24"/>
                <w:szCs w:val="24"/>
              </w:rPr>
              <w:t>наето на 8 часов работен ден на трудов договор.</w:t>
            </w:r>
            <w:r w:rsidR="00FA7D95" w:rsidRPr="00714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Към тези разходи се добавят и разходите за осигуровки за сметка на работодателя. </w:t>
            </w:r>
            <w:r w:rsidR="00FA7D95" w:rsidRPr="00714381">
              <w:rPr>
                <w:rFonts w:ascii="Times New Roman" w:hAnsi="Times New Roman"/>
                <w:sz w:val="24"/>
                <w:szCs w:val="24"/>
              </w:rPr>
              <w:t>Размерът на допустимото за подпомагане възнаграждение на координатор, нает за</w:t>
            </w:r>
            <w:r w:rsidR="00FA7D95" w:rsidRPr="00FA7D95">
              <w:rPr>
                <w:rFonts w:ascii="Times New Roman" w:hAnsi="Times New Roman"/>
                <w:sz w:val="24"/>
                <w:szCs w:val="24"/>
              </w:rPr>
              <w:t xml:space="preserve"> по-малко от 8 часа, </w:t>
            </w:r>
            <w:r w:rsidR="00EC5B79">
              <w:rPr>
                <w:rFonts w:ascii="Times New Roman" w:hAnsi="Times New Roman"/>
                <w:sz w:val="24"/>
                <w:szCs w:val="24"/>
              </w:rPr>
              <w:t>се</w:t>
            </w:r>
            <w:r w:rsidR="00FA7D95" w:rsidRPr="00FA7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5B79" w:rsidRPr="00FA7D95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EC5B79">
              <w:rPr>
                <w:rFonts w:ascii="Times New Roman" w:hAnsi="Times New Roman"/>
                <w:sz w:val="24"/>
                <w:szCs w:val="24"/>
              </w:rPr>
              <w:t>я</w:t>
            </w:r>
            <w:r w:rsidR="00EC5B79" w:rsidRPr="00FA7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D95" w:rsidRPr="00FA7D95">
              <w:rPr>
                <w:rFonts w:ascii="Times New Roman" w:hAnsi="Times New Roman"/>
                <w:sz w:val="24"/>
                <w:szCs w:val="24"/>
              </w:rPr>
              <w:t>пропорционално на това за 8 часа.</w:t>
            </w:r>
            <w:r w:rsidR="00EC5B79">
              <w:rPr>
                <w:rFonts w:ascii="Times New Roman" w:hAnsi="Times New Roman"/>
                <w:sz w:val="24"/>
                <w:szCs w:val="24"/>
              </w:rPr>
              <w:t xml:space="preserve"> Координаторът следва да 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притежава най-малко средно образование и </w:t>
            </w:r>
            <w:r w:rsidR="00576E90">
              <w:rPr>
                <w:rFonts w:ascii="Times New Roman" w:hAnsi="Times New Roman"/>
                <w:sz w:val="24"/>
                <w:szCs w:val="24"/>
              </w:rPr>
              <w:t xml:space="preserve">най-малко 1 година 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опит в администрирането на проекти, </w:t>
            </w:r>
            <w:r w:rsidR="00576E90">
              <w:rPr>
                <w:rFonts w:ascii="Times New Roman" w:hAnsi="Times New Roman"/>
                <w:sz w:val="24"/>
                <w:szCs w:val="24"/>
              </w:rPr>
              <w:t xml:space="preserve">финансирани със средства от ЕС, </w:t>
            </w:r>
            <w:r w:rsidR="00281916" w:rsidRPr="002819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и да </w:t>
            </w:r>
            <w:r w:rsidR="00EC5B79">
              <w:rPr>
                <w:rFonts w:ascii="Times New Roman" w:hAnsi="Times New Roman"/>
                <w:sz w:val="24"/>
                <w:szCs w:val="24"/>
              </w:rPr>
              <w:t>е ангажиран по одобрения проект на не по-малко от 4-часов работен ден</w:t>
            </w:r>
            <w:r w:rsidR="0016040C">
              <w:rPr>
                <w:rFonts w:ascii="Times New Roman" w:hAnsi="Times New Roman"/>
                <w:sz w:val="24"/>
                <w:szCs w:val="24"/>
              </w:rPr>
              <w:t xml:space="preserve"> на трудов договор към оперативната група</w:t>
            </w:r>
            <w:r w:rsidR="00EC5B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2AB4" w:rsidRDefault="00092AB4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247" w:rsidRDefault="0051006A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1247" w:rsidRPr="00A963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44EF1">
              <w:rPr>
                <w:rFonts w:ascii="Times New Roman" w:hAnsi="Times New Roman"/>
                <w:sz w:val="24"/>
                <w:szCs w:val="24"/>
              </w:rPr>
              <w:t>Административни</w:t>
            </w:r>
            <w:r w:rsidR="00F2759D">
              <w:rPr>
                <w:rFonts w:ascii="Times New Roman" w:hAnsi="Times New Roman"/>
                <w:sz w:val="24"/>
                <w:szCs w:val="24"/>
              </w:rPr>
              <w:t>те</w:t>
            </w:r>
            <w:r w:rsidR="00444EF1">
              <w:rPr>
                <w:rFonts w:ascii="Times New Roman" w:hAnsi="Times New Roman"/>
                <w:sz w:val="24"/>
                <w:szCs w:val="24"/>
              </w:rPr>
              <w:t xml:space="preserve"> разходи</w:t>
            </w:r>
            <w:r w:rsidR="00444EF1" w:rsidRPr="00A96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>по т.</w:t>
            </w:r>
            <w:r w:rsidR="00F2759D" w:rsidRPr="006113E1">
              <w:t xml:space="preserve">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1</w:t>
            </w:r>
            <w:r w:rsidR="00EC5B79">
              <w:rPr>
                <w:rFonts w:ascii="Times New Roman" w:hAnsi="Times New Roman"/>
                <w:sz w:val="24"/>
                <w:szCs w:val="24"/>
              </w:rPr>
              <w:t>, буква „</w:t>
            </w:r>
            <w:r w:rsidR="00714381">
              <w:rPr>
                <w:rFonts w:ascii="Times New Roman" w:hAnsi="Times New Roman"/>
                <w:sz w:val="24"/>
                <w:szCs w:val="24"/>
              </w:rPr>
              <w:t>б</w:t>
            </w:r>
            <w:r w:rsidR="00EC5B79">
              <w:rPr>
                <w:rFonts w:ascii="Times New Roman" w:hAnsi="Times New Roman"/>
                <w:sz w:val="24"/>
                <w:szCs w:val="24"/>
              </w:rPr>
              <w:t>“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 xml:space="preserve"> от раздел 1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>2</w:t>
            </w:r>
            <w:r w:rsidR="00F2759D" w:rsidRPr="006113E1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</w:t>
            </w:r>
            <w:r w:rsidR="00A61A66" w:rsidRPr="00611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69E9" w:rsidRPr="006113E1">
              <w:rPr>
                <w:rFonts w:ascii="Times New Roman" w:hAnsi="Times New Roman"/>
                <w:sz w:val="24"/>
                <w:szCs w:val="24"/>
              </w:rPr>
              <w:t>в размер на 15</w:t>
            </w:r>
            <w:r w:rsidR="00C069E9" w:rsidRPr="00C069E9">
              <w:rPr>
                <w:rFonts w:ascii="Times New Roman" w:hAnsi="Times New Roman"/>
                <w:sz w:val="24"/>
                <w:szCs w:val="24"/>
              </w:rPr>
              <w:t xml:space="preserve"> на сто от разходите за възнаграждения </w:t>
            </w:r>
            <w:r w:rsidR="007F2572">
              <w:rPr>
                <w:rFonts w:ascii="Times New Roman" w:hAnsi="Times New Roman"/>
                <w:sz w:val="24"/>
                <w:szCs w:val="24"/>
              </w:rPr>
              <w:t>за координато</w:t>
            </w:r>
            <w:r w:rsidR="000D0A34">
              <w:rPr>
                <w:rFonts w:ascii="Times New Roman" w:hAnsi="Times New Roman"/>
                <w:sz w:val="24"/>
                <w:szCs w:val="24"/>
              </w:rPr>
              <w:t>р</w:t>
            </w:r>
            <w:r w:rsidR="007F25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4EF1">
              <w:rPr>
                <w:rFonts w:ascii="Times New Roman" w:hAnsi="Times New Roman"/>
                <w:sz w:val="24"/>
                <w:szCs w:val="24"/>
              </w:rPr>
              <w:t xml:space="preserve">под формата на единна ставка </w:t>
            </w:r>
            <w:r w:rsidR="00F2759D">
              <w:rPr>
                <w:rFonts w:ascii="Times New Roman" w:hAnsi="Times New Roman"/>
                <w:sz w:val="24"/>
                <w:szCs w:val="24"/>
              </w:rPr>
              <w:t xml:space="preserve">са допустими </w:t>
            </w:r>
            <w:r w:rsidR="007F2572">
              <w:rPr>
                <w:rFonts w:ascii="Times New Roman" w:hAnsi="Times New Roman"/>
                <w:sz w:val="24"/>
                <w:szCs w:val="24"/>
              </w:rPr>
              <w:t>за периода на</w:t>
            </w:r>
            <w:r w:rsidR="00F61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656">
              <w:rPr>
                <w:rFonts w:ascii="Times New Roman" w:hAnsi="Times New Roman"/>
                <w:sz w:val="24"/>
                <w:szCs w:val="24"/>
              </w:rPr>
              <w:t>сключения трудов</w:t>
            </w:r>
            <w:r w:rsidR="00F613D6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16040C">
              <w:rPr>
                <w:rFonts w:ascii="Times New Roman" w:hAnsi="Times New Roman"/>
                <w:sz w:val="24"/>
                <w:szCs w:val="24"/>
              </w:rPr>
              <w:t xml:space="preserve"> с координатора</w:t>
            </w:r>
            <w:r w:rsidR="00F275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2AB4" w:rsidRDefault="00092AB4" w:rsidP="006B399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399C" w:rsidRPr="006B399C" w:rsidRDefault="000D0A34" w:rsidP="006B399C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7848A4" w:rsidRPr="007848A4">
              <w:rPr>
                <w:rFonts w:ascii="Times New Roman" w:hAnsi="Times New Roman"/>
                <w:sz w:val="24"/>
                <w:szCs w:val="24"/>
              </w:rPr>
              <w:t xml:space="preserve">Разходите за възнаграждения по т.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2</w:t>
            </w:r>
            <w:r w:rsidR="007848A4" w:rsidRPr="007848A4">
              <w:rPr>
                <w:rFonts w:ascii="Times New Roman" w:hAnsi="Times New Roman"/>
                <w:sz w:val="24"/>
                <w:szCs w:val="24"/>
              </w:rPr>
              <w:t xml:space="preserve">, буква „а“ от Раздел </w:t>
            </w:r>
            <w:r w:rsidR="007848A4">
              <w:rPr>
                <w:rFonts w:ascii="Times New Roman" w:hAnsi="Times New Roman"/>
                <w:sz w:val="24"/>
                <w:szCs w:val="24"/>
              </w:rPr>
              <w:t>12</w:t>
            </w:r>
            <w:r w:rsidR="007848A4" w:rsidRPr="007848A4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 </w:t>
            </w:r>
            <w:r w:rsidR="00DC45BC" w:rsidRPr="00DC45BC">
              <w:rPr>
                <w:rFonts w:ascii="Times New Roman" w:hAnsi="Times New Roman"/>
                <w:sz w:val="24"/>
                <w:szCs w:val="24"/>
                <w:lang w:val="en-GB"/>
              </w:rPr>
              <w:t>са допустими до размера</w:t>
            </w:r>
            <w:r w:rsidR="006B399C">
              <w:rPr>
                <w:rFonts w:ascii="Times New Roman" w:hAnsi="Times New Roman"/>
                <w:sz w:val="24"/>
                <w:szCs w:val="24"/>
              </w:rPr>
              <w:t xml:space="preserve"> на брутната работна заплата</w:t>
            </w:r>
            <w:r w:rsidR="00DC45BC" w:rsidRPr="00DC45B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определен </w:t>
            </w:r>
            <w:r w:rsidR="006B399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съгласно </w:t>
            </w:r>
            <w:r w:rsidR="006B399C">
              <w:rPr>
                <w:rFonts w:ascii="Times New Roman" w:hAnsi="Times New Roman"/>
                <w:sz w:val="24"/>
                <w:szCs w:val="24"/>
              </w:rPr>
              <w:t>Таблица № 1</w:t>
            </w:r>
            <w:r w:rsidR="009B143F">
              <w:rPr>
                <w:rFonts w:ascii="Times New Roman" w:hAnsi="Times New Roman"/>
                <w:sz w:val="24"/>
                <w:szCs w:val="24"/>
              </w:rPr>
              <w:t>,  за съответната икономическа дейност, в обхвата на която попада категорията труд, която се предвижда да се извършва по проекта</w:t>
            </w:r>
            <w:r w:rsidR="00DC45BC" w:rsidRPr="00DC45BC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="00DC4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048">
              <w:rPr>
                <w:rFonts w:ascii="Times New Roman" w:hAnsi="Times New Roman"/>
                <w:sz w:val="24"/>
                <w:szCs w:val="24"/>
              </w:rPr>
              <w:t xml:space="preserve">Към тези разходи се добавят и разходите за осигуровки </w:t>
            </w:r>
            <w:r w:rsidR="006B399C">
              <w:rPr>
                <w:rFonts w:ascii="Times New Roman" w:hAnsi="Times New Roman"/>
                <w:sz w:val="24"/>
                <w:szCs w:val="24"/>
              </w:rPr>
              <w:t>за сметка</w:t>
            </w:r>
            <w:r w:rsidR="00120048">
              <w:rPr>
                <w:rFonts w:ascii="Times New Roman" w:hAnsi="Times New Roman"/>
                <w:sz w:val="24"/>
                <w:szCs w:val="24"/>
              </w:rPr>
              <w:t xml:space="preserve"> на работодателя.</w:t>
            </w:r>
            <w:r w:rsidR="006B3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143F" w:rsidRDefault="009B143F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399C" w:rsidRPr="006B399C" w:rsidRDefault="006B399C" w:rsidP="00791247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399C">
              <w:rPr>
                <w:rFonts w:ascii="Times New Roman" w:hAnsi="Times New Roman"/>
                <w:b/>
                <w:sz w:val="24"/>
                <w:szCs w:val="24"/>
              </w:rPr>
              <w:t>Таблица № 1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5466"/>
              <w:gridCol w:w="1275"/>
              <w:gridCol w:w="1135"/>
              <w:gridCol w:w="1119"/>
            </w:tblGrid>
            <w:tr w:rsidR="009B143F" w:rsidRPr="006B399C" w:rsidTr="009B143F">
              <w:tc>
                <w:tcPr>
                  <w:tcW w:w="3038" w:type="pct"/>
                  <w:shd w:val="clear" w:color="auto" w:fill="D9D9D9" w:themeFill="background1" w:themeFillShade="D9"/>
                  <w:vAlign w:val="center"/>
                </w:tcPr>
                <w:p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Икономически дейности</w:t>
                  </w:r>
                </w:p>
              </w:tc>
              <w:tc>
                <w:tcPr>
                  <w:tcW w:w="709" w:type="pct"/>
                  <w:shd w:val="clear" w:color="auto" w:fill="D9D9D9" w:themeFill="background1" w:themeFillShade="D9"/>
                  <w:vAlign w:val="center"/>
                </w:tcPr>
                <w:p w:rsidR="009B143F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Средн</w:t>
                  </w:r>
                  <w:r w:rsidR="00DF43F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</w:t>
                  </w: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брутна месечна заплата</w:t>
                  </w:r>
                </w:p>
              </w:tc>
              <w:tc>
                <w:tcPr>
                  <w:tcW w:w="631" w:type="pct"/>
                  <w:shd w:val="clear" w:color="auto" w:fill="D9D9D9" w:themeFill="background1" w:themeFillShade="D9"/>
                  <w:vAlign w:val="center"/>
                </w:tcPr>
                <w:p w:rsidR="009B143F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Средно</w:t>
                  </w:r>
                </w:p>
                <w:p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дневно възнагр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22" w:type="pct"/>
                  <w:shd w:val="clear" w:color="auto" w:fill="D9D9D9" w:themeFill="background1" w:themeFillShade="D9"/>
                  <w:vAlign w:val="center"/>
                </w:tcPr>
                <w:p w:rsidR="009B143F" w:rsidRPr="006B399C" w:rsidRDefault="009B143F" w:rsidP="006B399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Почасова ставка</w:t>
                  </w:r>
                </w:p>
              </w:tc>
            </w:tr>
            <w:tr w:rsidR="009B143F" w:rsidRPr="006B399C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Селско, горско и рибно стопанство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DD2749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1 635.67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9B143F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77.56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9B143F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9.69 лв.</w:t>
                  </w:r>
                </w:p>
              </w:tc>
            </w:tr>
            <w:tr w:rsidR="009B143F" w:rsidRPr="006B399C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Преработваща промишленост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9B143F" w:rsidP="00DD2749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1 9</w:t>
                  </w:r>
                  <w:r w:rsidR="00DD2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40.50</w:t>
                  </w: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9B143F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  <w:r w:rsidR="00DD2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2.40</w:t>
                  </w:r>
                  <w:r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DD2749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11.55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</w:tr>
            <w:tr w:rsidR="009B143F" w:rsidRPr="006B399C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Създаване и разпространение на информация и творчески продукти; далекосъобщения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DD2749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5 280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.00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DD2749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251.43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6A3F08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31.43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</w:tr>
            <w:tr w:rsidR="009B143F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:rsidR="009B143F" w:rsidRPr="006B399C" w:rsidRDefault="009B143F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399C">
                    <w:rPr>
                      <w:rFonts w:ascii="Times New Roman" w:hAnsi="Times New Roman"/>
                      <w:sz w:val="20"/>
                      <w:szCs w:val="20"/>
                    </w:rPr>
                    <w:t>Професионални дейности и научни изследвания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6A3F08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3 181.58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6A3F08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151.50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B143F" w:rsidRPr="006B399C" w:rsidRDefault="006A3F08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18.94</w:t>
                  </w:r>
                  <w:r w:rsidR="009B143F" w:rsidRPr="006B39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лв.</w:t>
                  </w:r>
                </w:p>
              </w:tc>
            </w:tr>
            <w:tr w:rsidR="00DD2749" w:rsidTr="006A3F08">
              <w:trPr>
                <w:trHeight w:val="170"/>
              </w:trPr>
              <w:tc>
                <w:tcPr>
                  <w:tcW w:w="3038" w:type="pct"/>
                  <w:vAlign w:val="center"/>
                </w:tcPr>
                <w:p w:rsidR="00DD2749" w:rsidRPr="006B399C" w:rsidRDefault="00DD2749" w:rsidP="004A7ED9">
                  <w:pPr>
                    <w:pStyle w:val="ListParagraph"/>
                    <w:spacing w:after="120"/>
                    <w:ind w:lef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D2749"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Административни и спомагателни дейности</w:t>
                  </w:r>
                </w:p>
              </w:tc>
              <w:tc>
                <w:tcPr>
                  <w:tcW w:w="7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D2749" w:rsidRPr="006B399C" w:rsidRDefault="00DD2749" w:rsidP="00092AB4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1926.58 лв.</w:t>
                  </w:r>
                </w:p>
              </w:tc>
              <w:tc>
                <w:tcPr>
                  <w:tcW w:w="6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D2749" w:rsidRPr="006B399C" w:rsidRDefault="00DD2749" w:rsidP="00B576AC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91.74 лв.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D2749" w:rsidRPr="006B399C" w:rsidRDefault="00DD2749" w:rsidP="006A3F08">
                  <w:pPr>
                    <w:pStyle w:val="ListParagraph"/>
                    <w:spacing w:after="120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11.47 лв.</w:t>
                  </w:r>
                </w:p>
              </w:tc>
            </w:tr>
          </w:tbl>
          <w:p w:rsidR="00281916" w:rsidRDefault="00281916" w:rsidP="009B143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43F" w:rsidRDefault="00281916" w:rsidP="008F2878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  </w:t>
            </w:r>
            <w:r w:rsidRPr="00281916">
              <w:rPr>
                <w:rFonts w:ascii="Times New Roman" w:hAnsi="Times New Roman"/>
                <w:sz w:val="24"/>
                <w:szCs w:val="24"/>
              </w:rPr>
              <w:t xml:space="preserve">В случай на 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дейности, които не предвиждат продължителност повече от 10 часа седмично, за които са предвидени </w:t>
            </w:r>
            <w:r w:rsidRPr="00281916">
              <w:rPr>
                <w:rFonts w:ascii="Times New Roman" w:hAnsi="Times New Roman"/>
                <w:sz w:val="24"/>
                <w:szCs w:val="24"/>
              </w:rPr>
              <w:t xml:space="preserve">възнаграждения по т. 2, буква „а“ от Раздел 12 „Допустими разходи“ </w:t>
            </w:r>
            <w:r w:rsidR="00B576AC">
              <w:rPr>
                <w:rFonts w:ascii="Times New Roman" w:hAnsi="Times New Roman"/>
                <w:sz w:val="24"/>
                <w:szCs w:val="24"/>
              </w:rPr>
              <w:t>за лица, наети към член на оперативната група, е допустимо съответните лица да се ангажират на граждански договор. Размерът на възнагражденията се изчислява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 съгласно по</w:t>
            </w:r>
            <w:r w:rsidRPr="00281916">
              <w:rPr>
                <w:rFonts w:ascii="Times New Roman" w:hAnsi="Times New Roman"/>
                <w:sz w:val="24"/>
                <w:szCs w:val="24"/>
              </w:rPr>
              <w:t>часовата ставка за съответната икономическа дейност по таблица № 1</w:t>
            </w:r>
            <w:r w:rsidR="00B576AC">
              <w:rPr>
                <w:rFonts w:ascii="Times New Roman" w:hAnsi="Times New Roman"/>
                <w:sz w:val="24"/>
                <w:szCs w:val="24"/>
              </w:rPr>
              <w:t xml:space="preserve">. Към тези разходи се добавят и разходите за осигуровки за сметка на работодателя. </w:t>
            </w:r>
          </w:p>
          <w:p w:rsidR="00102636" w:rsidRPr="009B143F" w:rsidRDefault="000D0A34" w:rsidP="009B143F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43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E84F2B" w:rsidRPr="009B14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Разходите за настаняване, като част от разходите по т. </w:t>
            </w:r>
            <w:r w:rsidR="00714381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>, буква „б“</w:t>
            </w:r>
            <w:r w:rsidR="00102636" w:rsidRPr="006113E1">
              <w:t xml:space="preserve"> 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>от раздел 1</w:t>
            </w:r>
            <w:r w:rsidR="007848A4" w:rsidRPr="009B143F">
              <w:rPr>
                <w:rFonts w:ascii="Times New Roman" w:hAnsi="Times New Roman"/>
                <w:sz w:val="24"/>
                <w:szCs w:val="24"/>
              </w:rPr>
              <w:t>2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 са допустими в случай, че са обосновани като необходими за изпълнение на дейностите в </w:t>
            </w:r>
            <w:r w:rsidR="00DC45BC" w:rsidRPr="009B143F">
              <w:rPr>
                <w:rFonts w:ascii="Times New Roman" w:hAnsi="Times New Roman"/>
                <w:sz w:val="24"/>
                <w:szCs w:val="24"/>
              </w:rPr>
              <w:t xml:space="preserve">новаторския 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проект и не надвишават 100 лв. </w:t>
            </w:r>
            <w:proofErr w:type="gramStart"/>
            <w:r w:rsidR="00102636" w:rsidRPr="009B143F">
              <w:rPr>
                <w:rFonts w:ascii="Times New Roman" w:hAnsi="Times New Roman"/>
                <w:sz w:val="24"/>
                <w:szCs w:val="24"/>
              </w:rPr>
              <w:t>з</w:t>
            </w:r>
            <w:r w:rsidR="00C65656" w:rsidRPr="009B143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C65656" w:rsidRPr="009B143F">
              <w:rPr>
                <w:rFonts w:ascii="Times New Roman" w:hAnsi="Times New Roman"/>
                <w:sz w:val="24"/>
                <w:szCs w:val="24"/>
              </w:rPr>
              <w:t xml:space="preserve"> една нощувка</w:t>
            </w:r>
            <w:r w:rsidR="0074215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ДДС</w:t>
            </w:r>
            <w:r w:rsidR="00C65656" w:rsidRPr="009B143F">
              <w:rPr>
                <w:rFonts w:ascii="Times New Roman" w:hAnsi="Times New Roman"/>
                <w:sz w:val="24"/>
                <w:szCs w:val="24"/>
              </w:rPr>
              <w:t>. За тези разходи</w:t>
            </w:r>
            <w:r w:rsidR="00102636" w:rsidRPr="009B143F">
              <w:rPr>
                <w:rFonts w:ascii="Times New Roman" w:hAnsi="Times New Roman"/>
                <w:sz w:val="24"/>
                <w:szCs w:val="24"/>
              </w:rPr>
              <w:t xml:space="preserve"> кандидатите не следва да представят независими съпоставими оферти.</w:t>
            </w:r>
          </w:p>
          <w:p w:rsidR="00A75156" w:rsidRDefault="000D0A34" w:rsidP="00102636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>. Разходите за транспорт</w:t>
            </w:r>
            <w:r w:rsidR="00DC45BC">
              <w:rPr>
                <w:rFonts w:ascii="Times New Roman" w:hAnsi="Times New Roman"/>
                <w:sz w:val="24"/>
                <w:szCs w:val="24"/>
              </w:rPr>
              <w:t>, като част от разходите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2636" w:rsidRPr="006113E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2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02636" w:rsidRPr="006113E1">
              <w:rPr>
                <w:rFonts w:ascii="Times New Roman" w:hAnsi="Times New Roman"/>
                <w:sz w:val="24"/>
                <w:szCs w:val="24"/>
              </w:rPr>
              <w:t>буква „б“ от раздел 1</w:t>
            </w:r>
            <w:r w:rsidR="007848A4" w:rsidRPr="006113E1">
              <w:rPr>
                <w:rFonts w:ascii="Times New Roman" w:hAnsi="Times New Roman"/>
                <w:sz w:val="24"/>
                <w:szCs w:val="24"/>
              </w:rPr>
              <w:t>2</w:t>
            </w:r>
            <w:r w:rsidR="00102636" w:rsidRPr="006113E1">
              <w:rPr>
                <w:rFonts w:ascii="Times New Roman" w:hAnsi="Times New Roman"/>
                <w:sz w:val="24"/>
                <w:szCs w:val="24"/>
              </w:rPr>
              <w:t xml:space="preserve"> „Допустими разходи“</w:t>
            </w:r>
            <w:r w:rsidR="00DC45BC">
              <w:rPr>
                <w:rFonts w:ascii="Times New Roman" w:hAnsi="Times New Roman"/>
                <w:sz w:val="24"/>
                <w:szCs w:val="24"/>
              </w:rPr>
              <w:t>,</w:t>
            </w:r>
            <w:r w:rsidR="0010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 xml:space="preserve">се планират в размер на 0,43 лв. </w:t>
            </w:r>
            <w:r w:rsidR="00742152">
              <w:rPr>
                <w:rFonts w:ascii="Times New Roman" w:hAnsi="Times New Roman"/>
                <w:sz w:val="24"/>
                <w:szCs w:val="24"/>
              </w:rPr>
              <w:t xml:space="preserve">с ДДС </w:t>
            </w:r>
            <w:r w:rsidR="00102636" w:rsidRPr="00102636">
              <w:rPr>
                <w:rFonts w:ascii="Times New Roman" w:hAnsi="Times New Roman"/>
                <w:sz w:val="24"/>
                <w:szCs w:val="24"/>
              </w:rPr>
              <w:t xml:space="preserve">(0.22 евро) на километър при използване на собствен транспорт  или при представяне на обосновка на разходите за конкретни разстояния и маршрути с обществен транспорт (автобус, влак). </w:t>
            </w:r>
            <w:r w:rsidR="00F70018" w:rsidRPr="00F70018">
              <w:rPr>
                <w:rFonts w:ascii="Times New Roman" w:hAnsi="Times New Roman"/>
                <w:sz w:val="24"/>
                <w:szCs w:val="24"/>
              </w:rPr>
              <w:t>За тези разходи кандидатите не следва да представят независими съпоставими оферти.</w:t>
            </w:r>
          </w:p>
          <w:p w:rsidR="00B576AC" w:rsidRDefault="00B576AC" w:rsidP="00102636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055B" w:rsidRDefault="006113E1" w:rsidP="00102636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Разходите по т. </w:t>
            </w:r>
            <w:r w:rsidR="0071438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буква „в“ от </w:t>
            </w:r>
            <w:r w:rsidRPr="006113E1">
              <w:rPr>
                <w:rFonts w:ascii="Times New Roman" w:hAnsi="Times New Roman"/>
                <w:sz w:val="24"/>
                <w:szCs w:val="24"/>
              </w:rPr>
              <w:t>раздел 12 „Допустими разходи“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13E1">
              <w:rPr>
                <w:rFonts w:ascii="Times New Roman" w:hAnsi="Times New Roman"/>
                <w:sz w:val="24"/>
                <w:szCs w:val="24"/>
              </w:rPr>
              <w:t>за земеделска техника, машини, сгради и оборудване се определя на база годишната амортизационна норма, за съответния актив, изчислен за периода на реалното използване за нуждите на проекта. Разходи за амортизации не могат да надхвърлят определените в Закона за корпоративното подоходно облагане годишни данъчни амортизационни норми за съответните категории активи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6AC" w:rsidRDefault="00B576AC" w:rsidP="00281916">
            <w:pPr>
              <w:pStyle w:val="ListParagraph"/>
              <w:spacing w:after="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3E1" w:rsidRPr="008F2878" w:rsidRDefault="006113E1" w:rsidP="00281916">
            <w:pPr>
              <w:pStyle w:val="ListParagraph"/>
              <w:spacing w:after="0"/>
              <w:ind w:left="-21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 xml:space="preserve">Прогнозният размер на разходите по т. </w:t>
            </w:r>
            <w:r w:rsidR="00714381"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>, буква „</w:t>
            </w:r>
            <w:r w:rsidR="00586F8C">
              <w:rPr>
                <w:rFonts w:ascii="TimesNewRomanPSMT" w:hAnsi="TimesNewRomanPSMT" w:cs="TimesNewRomanPSMT"/>
                <w:sz w:val="24"/>
                <w:szCs w:val="24"/>
              </w:rPr>
              <w:t>в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 xml:space="preserve">“ </w:t>
            </w:r>
            <w:r w:rsidRPr="006113E1">
              <w:rPr>
                <w:rFonts w:ascii="TimesNewRomanPSMT" w:hAnsi="TimesNewRomanPSMT" w:cs="TimesNewRomanPSMT"/>
                <w:sz w:val="24"/>
                <w:szCs w:val="24"/>
              </w:rPr>
              <w:t>от раздел 12 „Допустими разходи“</w:t>
            </w:r>
            <w:r w:rsidRPr="00A24BF1">
              <w:rPr>
                <w:rFonts w:ascii="TimesNewRomanPSMT" w:hAnsi="TimesNewRomanPSMT" w:cs="TimesNewRomanPSMT"/>
                <w:sz w:val="24"/>
                <w:szCs w:val="24"/>
              </w:rPr>
              <w:t xml:space="preserve"> за земеделски площи се определя в съответствие с представените документи и размера на средното годишно рентно плащане за конкретното землище, по цени съгласно Закона за собствеността и ползването на земеделските земи за стопанската година към датата на кандидатстване, за периода на използване по проекта.</w:t>
            </w:r>
            <w:r w:rsidR="00281916" w:rsidRPr="00281916">
              <w:rPr>
                <w:rFonts w:ascii="TimesNewRomanPSMT" w:hAnsi="TimesNewRomanPSMT" w:cs="TimesNewRomanPSMT"/>
                <w:sz w:val="24"/>
                <w:szCs w:val="24"/>
              </w:rPr>
              <w:t xml:space="preserve"> За площи с трайни насаждения, предоставени от членове на оперативната група за целите на новаторския проект, се прилагат договорите за аредна, представени и в общинска служба „Земеделие“ по място на регистрация на земеделския стопанин.</w:t>
            </w:r>
          </w:p>
          <w:p w:rsidR="00B576AC" w:rsidRDefault="00B576AC" w:rsidP="00200533">
            <w:pPr>
              <w:pStyle w:val="ListParagraph"/>
              <w:spacing w:after="0"/>
              <w:ind w:left="-21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ED349D" w:rsidRPr="00DF43F2" w:rsidRDefault="00ED349D" w:rsidP="00200533">
            <w:pPr>
              <w:pStyle w:val="ListParagraph"/>
              <w:spacing w:after="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3F2">
              <w:rPr>
                <w:rFonts w:ascii="TimesNewRomanPSMT" w:hAnsi="TimesNewRomanPSMT" w:cs="TimesNewRomanPSMT"/>
                <w:sz w:val="24"/>
                <w:szCs w:val="24"/>
              </w:rPr>
              <w:t xml:space="preserve">12. Общият размер на допустимите за подпомагане разходи по т. </w:t>
            </w:r>
            <w:r w:rsidR="00714381" w:rsidRPr="00DF43F2"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  <w:r w:rsidRPr="00DF43F2">
              <w:rPr>
                <w:rFonts w:ascii="TimesNewRomanPSMT" w:hAnsi="TimesNewRomanPSMT" w:cs="TimesNewRomanPSMT"/>
                <w:sz w:val="24"/>
                <w:szCs w:val="24"/>
              </w:rPr>
              <w:t>,</w:t>
            </w:r>
            <w:r w:rsidR="00DF43F2">
              <w:rPr>
                <w:rFonts w:ascii="TimesNewRomanPSMT" w:hAnsi="TimesNewRomanPSMT" w:cs="TimesNewRomanPSMT"/>
                <w:sz w:val="24"/>
                <w:szCs w:val="24"/>
              </w:rPr>
              <w:t xml:space="preserve"> буква „д“ не може да </w:t>
            </w:r>
            <w:r w:rsidR="00DF43F2"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надвърля </w:t>
            </w:r>
            <w:r w:rsidR="006A3F08" w:rsidRPr="006A3F08">
              <w:rPr>
                <w:rFonts w:ascii="TimesNewRomanPSMT" w:hAnsi="TimesNewRomanPSMT" w:cs="TimesNewRomanPSMT"/>
                <w:sz w:val="24"/>
                <w:szCs w:val="24"/>
              </w:rPr>
              <w:t>97 790</w:t>
            </w:r>
            <w:r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 лв. (</w:t>
            </w:r>
            <w:r w:rsidR="006A3F08" w:rsidRPr="006A3F08"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  <w:r w:rsidR="007D25E7"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0 </w:t>
            </w:r>
            <w:r w:rsidRPr="006A3F08">
              <w:rPr>
                <w:rFonts w:ascii="TimesNewRomanPSMT" w:hAnsi="TimesNewRomanPSMT" w:cs="TimesNewRomanPSMT"/>
                <w:sz w:val="24"/>
                <w:szCs w:val="24"/>
              </w:rPr>
              <w:t>000 евро).</w:t>
            </w:r>
            <w:r w:rsidR="009F5AE7" w:rsidRPr="006A3F08">
              <w:rPr>
                <w:rFonts w:ascii="TimesNewRomanPSMT" w:hAnsi="TimesNewRomanPSMT" w:cs="TimesNewRomanPSMT"/>
                <w:sz w:val="24"/>
                <w:szCs w:val="24"/>
              </w:rPr>
              <w:t xml:space="preserve"> За</w:t>
            </w:r>
            <w:r w:rsidR="009F5AE7" w:rsidRPr="00DF43F2">
              <w:rPr>
                <w:rFonts w:ascii="TimesNewRomanPSMT" w:hAnsi="TimesNewRomanPSMT" w:cs="TimesNewRomanPSMT"/>
                <w:sz w:val="24"/>
                <w:szCs w:val="24"/>
              </w:rPr>
              <w:t xml:space="preserve"> физически лица, предоставящи услуги по т. 3, буква „д“ от Раздел 12. „Допустими разходи“, към заявлението за подпомагане се прилагат документи, доказващи компетентност или опит в областта на предлаганата услуга.</w:t>
            </w:r>
          </w:p>
          <w:p w:rsidR="00B576AC" w:rsidRDefault="00B576AC" w:rsidP="00E0206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E02065" w:rsidRPr="00443AE0" w:rsidRDefault="00D471D1" w:rsidP="00E0206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C93A7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3</w:t>
            </w:r>
            <w:r w:rsidR="00A81F45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. </w:t>
            </w:r>
            <w:r w:rsidR="00A81F45" w:rsidRPr="00A81F45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Разходите за </w:t>
            </w:r>
            <w:r w:rsidR="006A3F08" w:rsidRPr="006A3F0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разпространение на резултатите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="00982B8B" w:rsidRP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по т. 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4</w:t>
            </w:r>
            <w:r w:rsidR="00982B8B" w:rsidRP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от Раздел </w:t>
            </w:r>
            <w:r w:rsid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12</w:t>
            </w:r>
            <w:r w:rsidR="00982B8B" w:rsidRPr="00982B8B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„Допустими разходи“ се включват в бюджета на </w:t>
            </w:r>
            <w:r w:rsidR="00982B8B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заявлението за подпомагане, като за тях задължително се използват посочените стойности в Приложение № </w:t>
            </w:r>
            <w:r w:rsidR="0071438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6</w:t>
            </w:r>
            <w:r w:rsidR="0063354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  <w:r w:rsidR="00982B8B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„Стандартна таблица на разходите за единица продукти</w:t>
            </w:r>
            <w:r w:rsidR="00C93A7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“</w:t>
            </w:r>
            <w:r w:rsidR="00982B8B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 За тези разходи, кандидатите не следва да представят независими съпоставими оферти.</w:t>
            </w:r>
          </w:p>
          <w:p w:rsidR="00B576AC" w:rsidRDefault="00B576AC" w:rsidP="00E0206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E02065" w:rsidRPr="00443AE0" w:rsidRDefault="00E02065" w:rsidP="00E0206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4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. За всички разходи по т. </w:t>
            </w:r>
            <w:r w:rsidR="0063354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2</w:t>
            </w:r>
            <w:r w:rsidR="00586F8C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 буква „г“ и „д“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и т. </w:t>
            </w:r>
            <w:r w:rsidR="00633548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3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от раздел 12. „Допустими разходи“ се изисква предоставяне на три съпоставими независими оферти</w:t>
            </w:r>
            <w:r w:rsidR="008A6CB9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</w:t>
            </w:r>
          </w:p>
          <w:p w:rsidR="00B576AC" w:rsidRDefault="00B576AC" w:rsidP="00D471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D471D1" w:rsidRPr="00443AE0" w:rsidRDefault="00633548" w:rsidP="00D471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5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 Основателността на предложените за финансиране разходи се преценява:</w:t>
            </w:r>
          </w:p>
          <w:p w:rsidR="00D471D1" w:rsidRPr="00443AE0" w:rsidRDefault="00633548" w:rsidP="00D471D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а)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по т.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4</w:t>
            </w:r>
            <w:r w:rsidR="006A3F0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от раздел 12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„Допустими разходи“, посочени във финансовия план, чрез съпоставка със стандартните разходи, посочени в Приложение № </w:t>
            </w:r>
            <w:r w:rsidR="0071438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6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;</w:t>
            </w:r>
          </w:p>
          <w:p w:rsidR="006C27E9" w:rsidRDefault="00633548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б)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по т.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2, буква „г“ и „д“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и т. </w:t>
            </w:r>
            <w:r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3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от </w:t>
            </w:r>
            <w:r w:rsidR="008A6CB9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раздел </w:t>
            </w:r>
            <w:r w:rsidR="00D471D1" w:rsidRPr="00443AE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12. „Допустими разходи</w:t>
            </w:r>
            <w:r w:rsidR="00D471D1" w:rsidRPr="00D471D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“, посочени във финансовия план, чрез сравняване на 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най-малко три съпоставими независими оферти, които съдържат наименование, ЕИК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/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БУСТАТ</w:t>
            </w:r>
            <w:r w:rsid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електронна поща на оферента, срока на 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lastRenderedPageBreak/>
              <w:t>валидност на офертата, датата на издаване на офертата, подпис на оферента, подробна техническа спецификация на активите/услугите, цена в левове</w:t>
            </w:r>
            <w:r w:rsid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/</w:t>
            </w:r>
            <w:r w:rsidR="006C27E9" w:rsidRPr="006C27E9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евро с посочен ДДС. </w:t>
            </w:r>
          </w:p>
          <w:p w:rsidR="00B576AC" w:rsidRDefault="00B576A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9462A0" w:rsidRDefault="009462A0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6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. 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В случаите по т.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5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 буква „б“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когато оферентите са местни лица, трябва да са вписани в търговския регистър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и регистър на ЮЛНЦ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 а оферентите – чуждестранни лица, следва да представят документ за правосубектност съгласно националното им законодателство. Изискването за вписване в търговския регистър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и регистър на ЮЛНЦ</w:t>
            </w:r>
            <w:r w:rsidRPr="009462A0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 не се прилага за  физически лица, предоставящи услуги по проекта. Оферентите на посевен и посадъчен материал трябва да имат издадено разрешително за производство и заготовка на посевен и посадъчен материал и/или удостоверение за регистрация като търговец на посевен и посадъчен материал в случаите, предвидени в Закона за посевния и посадъчния материал.</w:t>
            </w:r>
          </w:p>
          <w:p w:rsidR="00B576AC" w:rsidRDefault="00B576A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F212D9" w:rsidRPr="00F212D9" w:rsidRDefault="00D471D1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7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. Когато член на оперативната група е възложител по ЗОП и дейностите по проекта не могат да бъдат обособени и разделени, всички процедури за избор на изпълнител се провеждат по реда на ЗОП.</w:t>
            </w:r>
          </w:p>
          <w:p w:rsidR="00B576AC" w:rsidRDefault="00B576A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F212D9" w:rsidRPr="00F212D9" w:rsidRDefault="001D5ED1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8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. Когато член на оперативната група е възложител по ЗОП и изборът на изпълнители се извършва общо от оперативната група, всички процедури за избор на изпълнител се провеждат по реда на ЗОП.</w:t>
            </w:r>
          </w:p>
          <w:p w:rsidR="00B576AC" w:rsidRDefault="00B576A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F212D9" w:rsidRPr="001D5ED1" w:rsidRDefault="009F5AE7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19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. Когато член на оперативната група е възложител по ЗОП и дейностите по проекта могат да бъдат обособени и разделени и изборът на изпълнители се извършва от различни членове на ОГ, членовете, които са възложители съгласно </w:t>
            </w:r>
            <w:r w:rsidR="00F212D9" w:rsidRPr="007A072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чл. 5 от ЗОП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извършват избора при спазване на закона, а останалите членове </w:t>
            </w:r>
            <w:r w:rsidR="00633548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въз основа</w:t>
            </w:r>
            <w:r w:rsidR="001D5ED1" w:rsidRPr="001D5ED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на представени независими оферти</w:t>
            </w:r>
            <w:r w:rsidR="001D5ED1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.</w:t>
            </w:r>
          </w:p>
          <w:p w:rsidR="00B576AC" w:rsidRDefault="00B576A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F212D9" w:rsidRPr="00F212D9" w:rsidRDefault="00633548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2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0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. Офертите по т.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9F5AE7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5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, буква „б“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 могат да бъдат адресирани и до членове на оперативната група, но при условие, че в тях е указано, че същите са свързани с изпълнение на конкретния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 xml:space="preserve">новаторски 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проект на оперативната група.</w:t>
            </w:r>
          </w:p>
          <w:p w:rsidR="00B576AC" w:rsidRDefault="00B576A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</w:pPr>
          </w:p>
          <w:p w:rsidR="00F212D9" w:rsidRPr="00F212D9" w:rsidRDefault="00586F8C" w:rsidP="00F212D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2</w:t>
            </w:r>
            <w:r w:rsidR="00105DDD">
              <w:rPr>
                <w:rFonts w:ascii="TimesNewRomanPSMT" w:hAnsi="TimesNewRomanPSMT" w:cs="TimesNewRomanPSMT"/>
                <w:sz w:val="24"/>
                <w:szCs w:val="24"/>
                <w:lang w:val="bg-BG" w:eastAsia="en-US"/>
              </w:rPr>
              <w:t>1</w:t>
            </w:r>
            <w:r w:rsidR="00F212D9" w:rsidRPr="00F212D9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 xml:space="preserve">. Разходите за полагаем платен годишен отпуск са допустими за периода на изпълнение на дейностите по проекта и до размера на основния платен годишен отпуск, посочен в чл. </w:t>
            </w:r>
            <w:r w:rsidR="00F212D9" w:rsidRPr="00714381">
              <w:rPr>
                <w:rFonts w:ascii="TimesNewRomanPSMT" w:hAnsi="TimesNewRomanPSMT" w:cs="TimesNewRomanPSMT"/>
                <w:sz w:val="24"/>
                <w:szCs w:val="24"/>
                <w:lang w:eastAsia="en-US"/>
              </w:rPr>
              <w:t>155 от Кодекса на труда.</w:t>
            </w:r>
          </w:p>
          <w:p w:rsidR="00B576AC" w:rsidRDefault="00B576AC" w:rsidP="00816A6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816A69" w:rsidRDefault="00105DDD" w:rsidP="00816A6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16A6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. 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>Преки</w:t>
            </w:r>
            <w:r w:rsidR="00816A69">
              <w:rPr>
                <w:rFonts w:ascii="Times New Roman" w:hAnsi="Times New Roman"/>
                <w:sz w:val="24"/>
                <w:szCs w:val="24"/>
              </w:rPr>
              <w:t>те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 xml:space="preserve"> разходи</w:t>
            </w:r>
            <w:r w:rsidR="00816A69">
              <w:rPr>
                <w:rFonts w:ascii="Times New Roman" w:hAnsi="Times New Roman"/>
                <w:sz w:val="24"/>
                <w:szCs w:val="24"/>
              </w:rPr>
              <w:t xml:space="preserve"> по т. </w:t>
            </w:r>
            <w:r w:rsidR="00633548">
              <w:rPr>
                <w:rFonts w:ascii="Times New Roman" w:hAnsi="Times New Roman"/>
                <w:sz w:val="24"/>
                <w:szCs w:val="24"/>
              </w:rPr>
              <w:t>3</w:t>
            </w:r>
            <w:r w:rsidR="00816A69">
              <w:rPr>
                <w:rFonts w:ascii="Times New Roman" w:hAnsi="Times New Roman"/>
                <w:sz w:val="24"/>
                <w:szCs w:val="24"/>
              </w:rPr>
              <w:t xml:space="preserve"> от раздел 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>12. „Допустими разходи“</w:t>
            </w:r>
            <w:r w:rsidR="00816A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 xml:space="preserve">се финансират пропорционално за периода на продължителност на </w:t>
            </w:r>
            <w:r w:rsidR="00816A69">
              <w:rPr>
                <w:rFonts w:ascii="Times New Roman" w:hAnsi="Times New Roman"/>
                <w:sz w:val="24"/>
                <w:szCs w:val="24"/>
              </w:rPr>
              <w:t>новаторския период</w:t>
            </w:r>
            <w:r w:rsidR="00816A69" w:rsidRPr="00816A69">
              <w:rPr>
                <w:rFonts w:ascii="Times New Roman" w:hAnsi="Times New Roman"/>
                <w:sz w:val="24"/>
                <w:szCs w:val="24"/>
              </w:rPr>
              <w:t>, но за срок не по-дълъг от тяхното реално използване за постигане целите на проекта, като се взимат предвид начислените разходи за амортизации. Финансирането на допустимите 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година.</w:t>
            </w:r>
          </w:p>
          <w:p w:rsidR="00B576AC" w:rsidRDefault="00B576AC" w:rsidP="00577D0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7D09" w:rsidRPr="00577D09" w:rsidRDefault="00105DDD" w:rsidP="00577D0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577D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 xml:space="preserve">Подпомаганите активи под формата на амортизационни разходи по т. </w:t>
            </w:r>
            <w:r w:rsidR="00633548">
              <w:rPr>
                <w:rFonts w:ascii="Times New Roman" w:hAnsi="Times New Roman"/>
                <w:sz w:val="24"/>
                <w:szCs w:val="24"/>
              </w:rPr>
              <w:t>3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 xml:space="preserve"> от раздел 12. „Допустими разходи“ трябва да се използват само и единствено за дейностите, предвидени по проекта и да са придобити след сключване на административния договор.</w:t>
            </w:r>
          </w:p>
          <w:p w:rsidR="00B576AC" w:rsidRDefault="00B576AC" w:rsidP="00577D0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7D09" w:rsidRDefault="00105DDD" w:rsidP="00577D09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>. Допустимите преки</w:t>
            </w:r>
            <w:r w:rsidR="00577D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="00633548">
              <w:rPr>
                <w:rFonts w:ascii="Times New Roman" w:hAnsi="Times New Roman"/>
                <w:sz w:val="24"/>
                <w:szCs w:val="24"/>
              </w:rPr>
              <w:t xml:space="preserve"> по т. 3 от Раздел 12 „Допустими разходи“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t xml:space="preserve">, финансирани под формата на амортизационни разходи, се изчисляват в съответствие със Закона за </w:t>
            </w:r>
            <w:r w:rsidR="00577D09" w:rsidRPr="00577D09">
              <w:rPr>
                <w:rFonts w:ascii="Times New Roman" w:hAnsi="Times New Roman"/>
                <w:sz w:val="24"/>
                <w:szCs w:val="24"/>
              </w:rPr>
              <w:lastRenderedPageBreak/>
              <w:t>корпоративното подоходно облагане и не могат да надвишават годишните данъчни амортизационни норми, определени з</w:t>
            </w:r>
            <w:r w:rsidR="00577D09">
              <w:rPr>
                <w:rFonts w:ascii="Times New Roman" w:hAnsi="Times New Roman"/>
                <w:sz w:val="24"/>
                <w:szCs w:val="24"/>
              </w:rPr>
              <w:t>а съответните категории активи.</w:t>
            </w:r>
          </w:p>
          <w:p w:rsidR="00B576AC" w:rsidRDefault="00B576AC" w:rsidP="00443AE0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3548" w:rsidRPr="00DF43F2" w:rsidRDefault="00105DDD" w:rsidP="00443AE0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3F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B662C" w:rsidRPr="00DF43F2">
              <w:rPr>
                <w:rFonts w:ascii="Times New Roman" w:hAnsi="Times New Roman"/>
                <w:sz w:val="24"/>
                <w:szCs w:val="24"/>
              </w:rPr>
              <w:t xml:space="preserve">. Общата стойност на допустимите </w:t>
            </w:r>
            <w:r w:rsidR="00633548" w:rsidRPr="00DF43F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преки разходи по т. </w:t>
            </w:r>
            <w:r w:rsidRPr="00DF43F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43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662C" w:rsidRPr="00DF43F2">
              <w:rPr>
                <w:rFonts w:ascii="Times New Roman" w:hAnsi="Times New Roman"/>
                <w:sz w:val="24"/>
                <w:szCs w:val="24"/>
              </w:rPr>
              <w:t xml:space="preserve">не може да надхвърля </w:t>
            </w:r>
            <w:r w:rsidR="00ED349D" w:rsidRPr="00DF43F2">
              <w:rPr>
                <w:rFonts w:ascii="Times New Roman" w:hAnsi="Times New Roman"/>
                <w:sz w:val="24"/>
                <w:szCs w:val="24"/>
              </w:rPr>
              <w:t>195 580 лв. (100 000 евро).</w:t>
            </w:r>
          </w:p>
          <w:p w:rsidR="009B143F" w:rsidRDefault="009B143F" w:rsidP="00ED349D">
            <w:pPr>
              <w:pStyle w:val="ListParagraph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43F" w:rsidRDefault="009B143F" w:rsidP="009B143F">
            <w:pPr>
              <w:pStyle w:val="ListParagraph"/>
              <w:shd w:val="clear" w:color="auto" w:fill="DEEAF6" w:themeFill="accent1" w:themeFillTint="33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AE0">
              <w:rPr>
                <w:rFonts w:ascii="Times New Roman" w:hAnsi="Times New Roman"/>
                <w:b/>
                <w:sz w:val="24"/>
                <w:szCs w:val="24"/>
              </w:rPr>
              <w:t>ВАЖНО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143F" w:rsidRDefault="00105DDD" w:rsidP="00105DDD">
            <w:pPr>
              <w:pStyle w:val="ListParagraph"/>
              <w:shd w:val="clear" w:color="auto" w:fill="DEEAF6" w:themeFill="accent1" w:themeFillTint="33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B143F">
              <w:rPr>
                <w:rFonts w:ascii="Times New Roman" w:hAnsi="Times New Roman"/>
                <w:sz w:val="24"/>
                <w:szCs w:val="24"/>
              </w:rPr>
              <w:t xml:space="preserve">. Размерът на допустимите разходи по т. 7 може да бъде актуализиран при необходимост съгалсно актуални данни на НСИ за </w:t>
            </w:r>
            <w:r w:rsidR="009B143F" w:rsidRPr="009B143F">
              <w:rPr>
                <w:rFonts w:ascii="Times New Roman" w:hAnsi="Times New Roman"/>
                <w:sz w:val="24"/>
                <w:szCs w:val="24"/>
              </w:rPr>
              <w:t>средна брутна месечна заплата на наетите лица  по трудово и служебно правоотношение</w:t>
            </w:r>
            <w:r w:rsidR="009B14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6AC" w:rsidRDefault="00B576AC" w:rsidP="00105DDD">
            <w:pPr>
              <w:pStyle w:val="ListParagraph"/>
              <w:shd w:val="clear" w:color="auto" w:fill="DEEAF6" w:themeFill="accent1" w:themeFillTint="33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76AC" w:rsidRPr="00AA3C90" w:rsidRDefault="00B576AC" w:rsidP="00CC4E85">
            <w:pPr>
              <w:pStyle w:val="ListParagraph"/>
              <w:shd w:val="clear" w:color="auto" w:fill="DEEAF6" w:themeFill="accent1" w:themeFillTint="33"/>
              <w:spacing w:after="120"/>
              <w:ind w:left="-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Ограничението по т. 7.1 се отнася 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лица, определени като екип в рамките на </w:t>
            </w:r>
            <w:r w:rsidR="00CC4E85">
              <w:rPr>
                <w:rFonts w:ascii="Times New Roman" w:hAnsi="Times New Roman"/>
                <w:sz w:val="24"/>
                <w:szCs w:val="24"/>
              </w:rPr>
              <w:t>повече от едно заявление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подпомагане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 по настоящата процедура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C4E85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</w:rPr>
              <w:t>които е предвидено да изпълняват дейности на граждански договор</w:t>
            </w:r>
            <w:r w:rsidR="00CC4E85">
              <w:rPr>
                <w:rFonts w:ascii="Times New Roman" w:hAnsi="Times New Roman"/>
                <w:sz w:val="24"/>
                <w:szCs w:val="24"/>
              </w:rPr>
              <w:t>, сключен с член на оперативната група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54DC6" w:rsidRPr="004F39ED" w:rsidRDefault="00CA4E27" w:rsidP="00CE1ADE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211416841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F54DC6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Недопустими разходи</w:t>
      </w:r>
      <w:bookmarkEnd w:id="14"/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F54DC6" w:rsidRPr="00FF727D" w:rsidTr="00655C82">
        <w:trPr>
          <w:trHeight w:val="404"/>
        </w:trPr>
        <w:tc>
          <w:tcPr>
            <w:tcW w:w="9072" w:type="dxa"/>
          </w:tcPr>
          <w:p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8CB">
              <w:rPr>
                <w:rFonts w:ascii="Times New Roman" w:hAnsi="Times New Roman"/>
                <w:sz w:val="24"/>
                <w:szCs w:val="24"/>
              </w:rPr>
              <w:t>Недопустими за подпомагане са следните разходи:</w:t>
            </w:r>
          </w:p>
          <w:p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Осигурителни вноски по възнаграждения, които не са задължителни по силата на нормативен акт.</w:t>
            </w:r>
          </w:p>
          <w:p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Данък върху добавена стойност (ДДС), с изключение на невъзстановим ДДС, когато е поет действително и окончателно от кандидати, различни от лицата, освободени</w:t>
            </w:r>
            <w:r w:rsidR="00DF43F2">
              <w:rPr>
                <w:rFonts w:ascii="Times New Roman" w:hAnsi="Times New Roman"/>
                <w:sz w:val="24"/>
                <w:szCs w:val="24"/>
              </w:rPr>
              <w:t xml:space="preserve"> от данък съгласно чл. 3, ал. 5</w:t>
            </w:r>
            <w:r w:rsidR="00DF43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от Закона за данък върху добавената стойност.</w:t>
            </w:r>
          </w:p>
          <w:p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Лихви, глоби и неустойки.</w:t>
            </w:r>
          </w:p>
          <w:p w:rsidR="006061EE" w:rsidRPr="00E878CB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>. Разходи, включени в заявлението за подпомагане, за които са установени изкуствено създадени условия за получаване на безвъзмездна финансова помощ.</w:t>
            </w:r>
          </w:p>
          <w:p w:rsidR="006061EE" w:rsidRP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878CB">
              <w:rPr>
                <w:rFonts w:ascii="Times New Roman" w:hAnsi="Times New Roman"/>
                <w:sz w:val="24"/>
                <w:szCs w:val="24"/>
              </w:rPr>
              <w:t xml:space="preserve">. Разходи, платени в брой, с изключение на разходи за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командировки, административни разходи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т.</w:t>
            </w:r>
            <w:r w:rsidR="008F28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1, буква „б“,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стандартни разходи по т.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4 и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разходи за земеделски площи по т.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2, буква 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в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раздел 12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</w:t>
            </w:r>
            <w:r w:rsidR="008915A7" w:rsidRPr="008915A7">
              <w:rPr>
                <w:rFonts w:ascii="Times New Roman" w:hAnsi="Times New Roman"/>
                <w:sz w:val="24"/>
                <w:szCs w:val="24"/>
                <w:lang w:val="bg-BG"/>
              </w:rPr>
              <w:t>Допустими разходи</w:t>
            </w:r>
            <w:r w:rsidR="008915A7">
              <w:rPr>
                <w:rFonts w:ascii="Times New Roman" w:hAnsi="Times New Roman"/>
                <w:sz w:val="24"/>
                <w:szCs w:val="24"/>
                <w:lang w:val="bg-BG"/>
              </w:rPr>
              <w:t>“.</w:t>
            </w:r>
          </w:p>
          <w:p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Заявени за финансиране разходи в частта им, която надвишава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  <w:lang w:val="en-US"/>
              </w:rPr>
              <w:t>:</w:t>
            </w:r>
          </w:p>
          <w:p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EFEFE"/>
                <w:lang w:val="en-US"/>
              </w:rPr>
              <w:t>a)</w:t>
            </w:r>
            <w:r w:rsidR="00E025F9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определените в приложение №</w:t>
            </w:r>
            <w:r w:rsidR="00E025F9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DC6CDB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6</w:t>
            </w:r>
            <w:r w:rsidRPr="002C78A4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„</w:t>
            </w:r>
            <w:r w:rsidRPr="00603E73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Стандартна таблица на разходи за единица продукт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“</w:t>
            </w:r>
            <w:r w:rsidRPr="00603E73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2C78A4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количества и единични цени за опростените разходи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;</w:t>
            </w:r>
          </w:p>
          <w:p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б) </w:t>
            </w:r>
            <w:r w:rsidR="00DF43F2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ай-ниската предложена цена от представените оференти;</w:t>
            </w:r>
          </w:p>
          <w:p w:rsidR="006061EE" w:rsidRPr="00AA3C90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в) </w:t>
            </w:r>
            <w:r w:rsidR="00DF43F2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Максималните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прагове за бюджета по т. </w:t>
            </w:r>
            <w:r w:rsidR="00473586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12 и т</w:t>
            </w:r>
            <w:r w:rsidR="00473586"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. 26</w:t>
            </w:r>
            <w:r w:rsidR="00473586"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от раздел </w:t>
            </w:r>
            <w:r w:rsidR="00473586" w:rsidRPr="00473586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13 „</w:t>
            </w:r>
            <w:r w:rsidR="00473586" w:rsidRPr="00AA3C9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Условия за допустимост на разходите</w:t>
            </w:r>
            <w:r w:rsidR="00473586" w:rsidRPr="00AA3C90">
              <w:rPr>
                <w:rFonts w:ascii="Times New Roman" w:hAnsi="Times New Roman"/>
                <w:sz w:val="24"/>
                <w:szCs w:val="24"/>
                <w:shd w:val="clear" w:color="auto" w:fill="FEFEFE"/>
                <w:lang w:val="bg-BG"/>
              </w:rPr>
              <w:t>“.</w:t>
            </w:r>
          </w:p>
          <w:p w:rsidR="008163D6" w:rsidRDefault="008163D6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  <w:r w:rsidRPr="008163D6">
              <w:rPr>
                <w:rFonts w:ascii="Times New Roman" w:hAnsi="Times New Roman"/>
                <w:sz w:val="24"/>
                <w:szCs w:val="24"/>
              </w:rPr>
              <w:t>. Създаване и/или презасаждане на трайни насаждения.</w:t>
            </w:r>
          </w:p>
          <w:p w:rsidR="006061EE" w:rsidRDefault="006061EE" w:rsidP="006061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t xml:space="preserve"> </w:t>
            </w:r>
            <w:r w:rsidR="008163D6" w:rsidRPr="0038372B">
              <w:rPr>
                <w:rFonts w:ascii="Times New Roman" w:hAnsi="Times New Roman"/>
                <w:sz w:val="24"/>
                <w:szCs w:val="24"/>
              </w:rPr>
              <w:t>Разходи</w:t>
            </w:r>
            <w:r w:rsidRPr="0038372B">
              <w:rPr>
                <w:rFonts w:ascii="Times New Roman" w:hAnsi="Times New Roman"/>
                <w:sz w:val="24"/>
                <w:szCs w:val="24"/>
              </w:rPr>
              <w:t xml:space="preserve"> за информираност и публичност, които не отговарят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техническите </w:t>
            </w:r>
            <w:r w:rsidRPr="0038372B">
              <w:rPr>
                <w:rFonts w:ascii="Times New Roman" w:hAnsi="Times New Roman"/>
                <w:sz w:val="24"/>
                <w:szCs w:val="24"/>
              </w:rPr>
              <w:t>изискванията, посочени в</w:t>
            </w:r>
            <w:r>
              <w:t xml:space="preserve"> </w:t>
            </w:r>
            <w:r w:rsidRPr="0038372B">
              <w:rPr>
                <w:rFonts w:ascii="Times New Roman" w:hAnsi="Times New Roman"/>
                <w:sz w:val="24"/>
                <w:szCs w:val="24"/>
              </w:rPr>
              <w:t>Приложение № ІІ към чл. 5 от Регламент за изпълнение (ЕС) 2022/129 на Комисията от 21 декември 2021 година за установяване на правила за видовете интервенции по отношение на маслодайните семена, памука и вторичните продукти от производството на вино съгласно Регламент (ЕС) 2021/2115 на Европейския парламент и на Съвета и за изискванията за информация, публичност и видимост във връзка с подпомагането от Съюза и стратегическите планове по ОСП (OB L 20 от 31.1.2022 г.)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1EE" w:rsidRDefault="006061EE" w:rsidP="006061E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Разходи за принос в натура.</w:t>
            </w:r>
          </w:p>
          <w:p w:rsidR="00560904" w:rsidRDefault="006061EE" w:rsidP="006061E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10. </w:t>
            </w:r>
            <w:r w:rsidRPr="00DF5377">
              <w:rPr>
                <w:rFonts w:ascii="TimesNewRomanPSMT" w:hAnsi="TimesNewRomanPSMT" w:cs="TimesNewRomanPSMT"/>
                <w:sz w:val="24"/>
                <w:szCs w:val="24"/>
              </w:rPr>
              <w:t>Разходи за банкови такси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  <w:p w:rsidR="008163D6" w:rsidRDefault="008163D6" w:rsidP="008163D6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lastRenderedPageBreak/>
              <w:t xml:space="preserve">11. 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По т.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3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>, буква „в</w:t>
            </w:r>
            <w:proofErr w:type="gramStart"/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>“ от</w:t>
            </w:r>
            <w:proofErr w:type="gramEnd"/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 Раздел 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12.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 „Допустими разходи</w:t>
            </w:r>
            <w:proofErr w:type="gramStart"/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>“ за</w:t>
            </w:r>
            <w:proofErr w:type="gramEnd"/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 предоставени от членовете на Оперативната група за нуждите по проекта – земеделска техника, машини, сгради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 xml:space="preserve"> и</w:t>
            </w:r>
            <w:r w:rsidRPr="008163D6">
              <w:rPr>
                <w:rFonts w:ascii="TimesNewRomanPSMT" w:hAnsi="TimesNewRomanPSMT" w:cs="TimesNewRomanPSMT"/>
                <w:sz w:val="24"/>
                <w:szCs w:val="24"/>
              </w:rPr>
              <w:t xml:space="preserve"> оборудване с изтекъл амортизационен период към датата на кандидатстване.</w:t>
            </w:r>
          </w:p>
          <w:p w:rsidR="00F75091" w:rsidRPr="00F75091" w:rsidRDefault="00F75091" w:rsidP="00F75091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12. Разходи за активи по т. 3 от раздел 12, които са втора употреба.</w:t>
            </w:r>
          </w:p>
          <w:p w:rsidR="00F75091" w:rsidRPr="00F75091" w:rsidRDefault="00F75091" w:rsidP="00F75091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13.</w:t>
            </w:r>
            <w:r w:rsidR="008F2878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Разходи за инвестиции/дейности, които са финансирани със средства от Европейския съюз, както и с други публични средства, различни от тези на кандидата и са за същата дейност, включително и разходи, за които е установено двойно финансиране.</w:t>
            </w:r>
          </w:p>
          <w:p w:rsidR="00F75091" w:rsidRPr="008F2878" w:rsidRDefault="00F75091" w:rsidP="00F75091">
            <w:pPr>
              <w:jc w:val="both"/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</w:pPr>
            <w:r w:rsidRPr="00F75091">
              <w:rPr>
                <w:rFonts w:ascii="TimesNewRomanPSMT" w:hAnsi="TimesNewRomanPSMT" w:cs="TimesNewRomanPSMT"/>
                <w:sz w:val="24"/>
                <w:szCs w:val="24"/>
              </w:rPr>
              <w:t>14. Разходи за трудови възнаграждения на повече от един координатор по проекта</w:t>
            </w:r>
            <w:r>
              <w:rPr>
                <w:rFonts w:ascii="TimesNewRomanPSMT" w:hAnsi="TimesNewRomanPSMT" w:cs="TimesNewRomanPSMT"/>
                <w:sz w:val="24"/>
                <w:szCs w:val="24"/>
                <w:lang w:val="bg-BG"/>
              </w:rPr>
              <w:t>.</w:t>
            </w:r>
          </w:p>
        </w:tc>
      </w:tr>
    </w:tbl>
    <w:p w:rsidR="00CE1ADE" w:rsidRPr="004F39ED" w:rsidRDefault="00B3053F" w:rsidP="005B1132">
      <w:pPr>
        <w:pStyle w:val="Heading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211416842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C5105A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Критерии за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подбор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в т.ч. </w:t>
      </w:r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извършване на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предварителна оценка (ако е приложимо)</w:t>
      </w:r>
      <w:bookmarkEnd w:id="15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AA3C90">
        <w:tc>
          <w:tcPr>
            <w:tcW w:w="9209" w:type="dxa"/>
          </w:tcPr>
          <w:p w:rsidR="00FC01A6" w:rsidRDefault="00D65705" w:rsidP="00D65705">
            <w:pPr>
              <w:spacing w:before="40" w:after="4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1. Предварителна оценка на заявления за подпомагане </w:t>
            </w:r>
            <w:r w:rsidR="002709B2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във връзка с чл. 11, ал. 1 от Наредба № 4 </w:t>
            </w:r>
            <w:r w:rsidR="002709B2" w:rsidRPr="004F39ED">
              <w:rPr>
                <w:rFonts w:ascii="Times New Roman" w:eastAsia="Times New Roman" w:hAnsi="Times New Roman"/>
                <w:bCs/>
                <w:color w:val="000000"/>
                <w:spacing w:val="1"/>
                <w:sz w:val="24"/>
                <w:szCs w:val="24"/>
                <w:lang w:eastAsia="bg-BG"/>
              </w:rPr>
              <w:t>от 25 октомври 2024 г.</w:t>
            </w:r>
            <w:r w:rsidR="002709B2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3D6E9A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неприложима за </w:t>
            </w:r>
            <w:r w:rsidR="004B39EC" w:rsidRPr="004F39ED">
              <w:rPr>
                <w:rFonts w:ascii="Times New Roman" w:eastAsia="Times New Roman" w:hAnsi="Times New Roman"/>
                <w:sz w:val="24"/>
                <w:szCs w:val="24"/>
              </w:rPr>
              <w:t>настоящия прием на заявления за подпомагане</w:t>
            </w:r>
            <w:r w:rsidR="00324202"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66FBE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по процедура „Предоставяне на съветнически пакети на земеделски и горски стопани“</w:t>
            </w:r>
            <w:r w:rsidR="007A29FD">
              <w:rPr>
                <w:rFonts w:ascii="Times New Roman" w:eastAsia="Times New Roman" w:hAnsi="Times New Roman"/>
                <w:sz w:val="24"/>
                <w:szCs w:val="24"/>
              </w:rPr>
              <w:t xml:space="preserve"> по интервенция II.И.1 </w:t>
            </w:r>
            <w:r w:rsidR="00324202" w:rsidRPr="004F39ED">
              <w:rPr>
                <w:rFonts w:ascii="Times New Roman" w:eastAsia="Times New Roman" w:hAnsi="Times New Roman"/>
                <w:sz w:val="24"/>
                <w:szCs w:val="24"/>
              </w:rPr>
              <w:t>„Консултантски услуги и повишаване на консултантския капацитет“ от СПРЗСР 2023 – 2027 г.</w:t>
            </w:r>
          </w:p>
          <w:p w:rsidR="00D65705" w:rsidRDefault="00D65705" w:rsidP="00D65705">
            <w:pPr>
              <w:spacing w:before="40" w:after="4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386A">
              <w:rPr>
                <w:rFonts w:ascii="Times New Roman" w:eastAsia="Times New Roman" w:hAnsi="Times New Roman"/>
                <w:sz w:val="24"/>
                <w:szCs w:val="24"/>
              </w:rPr>
              <w:t>2. Критерии</w:t>
            </w:r>
            <w:r w:rsidR="00A36C60" w:rsidRPr="007D386A">
              <w:rPr>
                <w:rFonts w:ascii="Times New Roman" w:eastAsia="Times New Roman" w:hAnsi="Times New Roman"/>
                <w:sz w:val="24"/>
                <w:szCs w:val="24"/>
              </w:rPr>
              <w:t>те</w:t>
            </w: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 за </w:t>
            </w:r>
            <w:r w:rsidR="002F4301" w:rsidRPr="004F39ED">
              <w:rPr>
                <w:rFonts w:ascii="Times New Roman" w:eastAsia="Times New Roman" w:hAnsi="Times New Roman"/>
                <w:sz w:val="24"/>
                <w:szCs w:val="24"/>
              </w:rPr>
              <w:t>подбор</w:t>
            </w: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>, по които ще бъдат класирани постъпилите заявления за подпомагане</w:t>
            </w:r>
            <w:r w:rsidR="00A36C60" w:rsidRPr="004F39ED">
              <w:rPr>
                <w:rFonts w:ascii="Times New Roman" w:eastAsia="Times New Roman" w:hAnsi="Times New Roman"/>
                <w:sz w:val="24"/>
                <w:szCs w:val="24"/>
              </w:rPr>
              <w:t>, са както следва</w:t>
            </w:r>
            <w:r w:rsidRPr="004F39ED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9D7DB8" w:rsidRDefault="009D7DB8" w:rsidP="00D65705">
            <w:pPr>
              <w:spacing w:before="40" w:after="4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746"/>
              <w:gridCol w:w="2729"/>
              <w:gridCol w:w="4531"/>
              <w:gridCol w:w="977"/>
            </w:tblGrid>
            <w:tr w:rsidR="00AA3C90" w:rsidRPr="009D7DB8" w:rsidTr="00AA3C90">
              <w:tc>
                <w:tcPr>
                  <w:tcW w:w="415" w:type="pct"/>
                  <w:shd w:val="clear" w:color="auto" w:fill="BFBFBF" w:themeFill="background1" w:themeFillShade="BF"/>
                  <w:vAlign w:val="center"/>
                </w:tcPr>
                <w:p w:rsidR="00AA3C90" w:rsidRPr="009D7DB8" w:rsidRDefault="00AA3C90" w:rsidP="00AA3C90">
                  <w:pPr>
                    <w:ind w:left="-84"/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№</w:t>
                  </w:r>
                </w:p>
              </w:tc>
              <w:tc>
                <w:tcPr>
                  <w:tcW w:w="1519" w:type="pct"/>
                  <w:shd w:val="clear" w:color="auto" w:fill="BFBFBF" w:themeFill="background1" w:themeFillShade="BF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Приоритет/</w:t>
                  </w:r>
                </w:p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Критерии за подбор на заявления</w:t>
                  </w:r>
                </w:p>
              </w:tc>
              <w:tc>
                <w:tcPr>
                  <w:tcW w:w="2522" w:type="pct"/>
                  <w:shd w:val="clear" w:color="auto" w:fill="BFBFBF" w:themeFill="background1" w:themeFillShade="BF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Условие за изпълнение</w:t>
                  </w:r>
                </w:p>
              </w:tc>
              <w:tc>
                <w:tcPr>
                  <w:tcW w:w="544" w:type="pct"/>
                  <w:shd w:val="clear" w:color="auto" w:fill="BFBFBF" w:themeFill="background1" w:themeFillShade="BF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Точки</w:t>
                  </w:r>
                </w:p>
              </w:tc>
            </w:tr>
            <w:tr w:rsidR="00AA3C90" w:rsidRPr="009D7DB8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</w:tcPr>
                <w:p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Качество на новаторския план (35 т.)</w:t>
                  </w:r>
                </w:p>
              </w:tc>
            </w:tr>
            <w:tr w:rsidR="00AA3C90" w:rsidRPr="009D7DB8" w:rsidTr="00AA3C90">
              <w:trPr>
                <w:trHeight w:val="514"/>
              </w:trPr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ind w:left="-84" w:right="-45"/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1.1.</w:t>
                  </w:r>
                </w:p>
              </w:tc>
              <w:tc>
                <w:tcPr>
                  <w:tcW w:w="1519" w:type="pct"/>
                  <w:vMerge w:val="restar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Оценка на качеството на плана за изпълнение на  новаторския проект</w:t>
                  </w:r>
                </w:p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Описанието на проблема, за който ще се търси решение чрез новаторския проект, е базирано на проучване в земеделски стопанства и в конкретен период от време, и е направен извод на база наблюдения, изследвания, експерименти и/или документи, доказващи, наличието на проблема.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15</w:t>
                  </w:r>
                </w:p>
              </w:tc>
            </w:tr>
            <w:tr w:rsidR="00AA3C90" w:rsidRPr="009D7DB8" w:rsidTr="00AA3C90">
              <w:trPr>
                <w:trHeight w:val="514"/>
              </w:trPr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1.2.</w:t>
                  </w:r>
                </w:p>
              </w:tc>
              <w:tc>
                <w:tcPr>
                  <w:tcW w:w="1519" w:type="pct"/>
                  <w:vMerge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Реалистичност на времевия график за изпълнение на проекта – кандидатът е обосновал постигането на поставените цели в рамките на времевия график за изпълнение на проекта.  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:rsidTr="00AA3C90">
              <w:trPr>
                <w:trHeight w:val="1104"/>
              </w:trPr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1.3.</w:t>
                  </w:r>
                </w:p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1519" w:type="pct"/>
                  <w:vMerge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новаторския проект е планирана ясно формулирана цел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която е относима към повече от една от специфичните цели, адресирани в </w:t>
                  </w:r>
                  <w:hyperlink r:id="rId11" w:history="1">
                    <w:r w:rsidRPr="009D7DB8">
                      <w:rPr>
                        <w:rFonts w:ascii="Times New Roman" w:hAnsi="Times New Roman"/>
                        <w:color w:val="0563C1" w:themeColor="hyperlink"/>
                        <w:u w:val="single"/>
                        <w:lang w:val="bg-BG" w:eastAsia="en-US"/>
                      </w:rPr>
                      <w:t>СПРЗСР 2023 – 2027 г.</w:t>
                    </w:r>
                  </w:hyperlink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</w:tr>
            <w:tr w:rsidR="00AA3C90" w:rsidRPr="009D7DB8" w:rsidTr="00AA3C90">
              <w:trPr>
                <w:trHeight w:val="1152"/>
              </w:trPr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4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1519" w:type="pct"/>
                  <w:vMerge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новаторския проект са предвидени ясно измерими количествени или качествени показатели за резултат от изпълнението на проекта, обвързани с преодоляване на идентифицирания проблем (пряко приложение в практиката).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:rsidTr="00AA3C90">
              <w:trPr>
                <w:trHeight w:val="888"/>
              </w:trPr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5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1519" w:type="pct"/>
                  <w:vMerge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color w:val="FF0000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color w:val="000000" w:themeColor="text1"/>
                      <w:lang w:val="bg-BG" w:eastAsia="en-US"/>
                    </w:rPr>
                    <w:t>Обосновани са очакваните възможности за мултиплициране на иновативното решение към по-голям брой заинтересовани лица извън участниците в оперативната група.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</w:tcPr>
                <w:p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jc w:val="both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lastRenderedPageBreak/>
                    <w:t>Принос и очаквано въздействие на новаторския проект във връзка със заложените цели в Стратегическия план (10 т.)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2.1.</w:t>
                  </w:r>
                </w:p>
              </w:tc>
              <w:tc>
                <w:tcPr>
                  <w:tcW w:w="1519" w:type="pct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Проекти с потенциал за иновации, насочени към подобряване на качеството на селскостопанските</w:t>
                  </w:r>
                </w:p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продукти и/или намаляване на себестойността им, в т.ч. базирани на цифрови технологии</w:t>
                  </w: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91898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Целта на проекта е свързана с повишаване на качеството на конкретен селскостопански продукт или подобряване на производствен процес или прилагане на практики за намаляване на себестойността на селскостопански продукт чрез прилагане на нов/и подход/и за намаляване на разходите за производство и реализация, в т.ч. чрез използване на цифрови технологии.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10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2.2.</w:t>
                  </w:r>
                </w:p>
              </w:tc>
              <w:tc>
                <w:tcPr>
                  <w:tcW w:w="1519" w:type="pct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Проекти, насочени към устойчивото развитие и ефективно управление на природните ресурси като вода, почва и въздух, и/или</w:t>
                  </w:r>
                </w:p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свързани със защита на биологичното разнообразие, подобряване на екосистемните</w:t>
                  </w:r>
                </w:p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услуги и опазване на местообитанията и ландшафта</w:t>
                  </w: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Основната цел на проекта, подкрепена с конкретна дейност/и, е насочена към устойчивото развитие и ефективно управление на природните ресурси като вода, почва и въздух, и/или защита на биологичното разнообразие, подобряване на екосистемни</w:t>
                  </w:r>
                  <w:r w:rsidR="00A91898" w:rsidRPr="009D7DB8">
                    <w:rPr>
                      <w:rFonts w:ascii="Times New Roman" w:hAnsi="Times New Roman"/>
                      <w:lang w:val="bg-BG" w:eastAsia="en-US"/>
                    </w:rPr>
                    <w:t>те услуги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 и опазване на местообитанията и ландшафта, във връзка с идентифицираните в СПРЗСР 2023-2027 г. потребности</w:t>
                  </w:r>
                  <w:r w:rsidRPr="009D7DB8">
                    <w:rPr>
                      <w:rFonts w:ascii="Times New Roman" w:hAnsi="Times New Roman"/>
                      <w:color w:val="0563C1" w:themeColor="hyperlink"/>
                      <w:u w:val="single"/>
                      <w:lang w:val="bg-BG" w:eastAsia="en-US"/>
                    </w:rPr>
                    <w:t xml:space="preserve"> към </w:t>
                  </w:r>
                  <w:hyperlink r:id="rId12" w:history="1">
                    <w:r w:rsidRPr="009D7DB8">
                      <w:rPr>
                        <w:rFonts w:ascii="Times New Roman" w:hAnsi="Times New Roman"/>
                        <w:color w:val="0563C1" w:themeColor="hyperlink"/>
                        <w:u w:val="single"/>
                        <w:lang w:val="bg-BG" w:eastAsia="en-US"/>
                      </w:rPr>
                      <w:t>специфична цел 5</w:t>
                    </w:r>
                  </w:hyperlink>
                  <w:r w:rsidRPr="009D7DB8">
                    <w:rPr>
                      <w:rFonts w:ascii="Times New Roman" w:hAnsi="Times New Roman"/>
                      <w:color w:val="0563C1" w:themeColor="hyperlink"/>
                      <w:u w:val="single"/>
                      <w:lang w:val="bg-BG" w:eastAsia="en-US"/>
                    </w:rPr>
                    <w:t xml:space="preserve"> или </w:t>
                  </w:r>
                  <w:hyperlink r:id="rId13" w:history="1">
                    <w:r w:rsidRPr="009D7DB8">
                      <w:rPr>
                        <w:rFonts w:ascii="Times New Roman" w:hAnsi="Times New Roman"/>
                        <w:color w:val="0563C1" w:themeColor="hyperlink"/>
                        <w:u w:val="single"/>
                        <w:lang w:val="bg-BG" w:eastAsia="en-US"/>
                      </w:rPr>
                      <w:t>специфична цел 6</w:t>
                    </w:r>
                  </w:hyperlink>
                  <w:r w:rsidRPr="009D7DB8">
                    <w:rPr>
                      <w:rFonts w:ascii="Times New Roman" w:hAnsi="Times New Roman"/>
                      <w:color w:val="0563C1" w:themeColor="hyperlink"/>
                      <w:u w:val="single"/>
                      <w:lang w:val="bg-BG" w:eastAsia="en-US"/>
                    </w:rPr>
                    <w:t xml:space="preserve">,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т.ч. чрез използване на цифрови технологии.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10</w:t>
                  </w:r>
                </w:p>
              </w:tc>
            </w:tr>
            <w:tr w:rsidR="00AA3C90" w:rsidRPr="009D7DB8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</w:tcPr>
                <w:p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Оценка на участниците в оперативната група (32 т.)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3.1.</w:t>
                  </w: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съветник и представител на науката</w:t>
                  </w: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като участници - консултантска организация/индивидуален съветник, с консултантски опит в сферата на селското/горско стопанство или хран</w:t>
                  </w:r>
                  <w:r w:rsidR="00A91898" w:rsidRPr="009D7DB8">
                    <w:rPr>
                      <w:rFonts w:ascii="Times New Roman" w:hAnsi="Times New Roman"/>
                      <w:lang w:val="bg-BG" w:eastAsia="en-US"/>
                    </w:rPr>
                    <w:t>ите и представител на науката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12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3.2.</w:t>
                  </w: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Оперативната група включва като партньор браншова организация или развъдна организация </w:t>
                  </w:r>
                </w:p>
              </w:tc>
              <w:tc>
                <w:tcPr>
                  <w:tcW w:w="2522" w:type="pct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развъдна организация или браншова организация за производство и преработка на селскостопански продукти, която за целите на процедурата е: юридическо лице, учредено и регистрирано по реда на Закона за кооперациите или Закона за юридическите лица с нестопанска цел, което подпомага, насърчава,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интерес. Браншовата организация е вписана като такава в устава и в търговския регистър и регистъра на юридическите лица с нестопанска цел или друг публичен регистър.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10</w:t>
                  </w:r>
                </w:p>
              </w:tc>
            </w:tr>
            <w:tr w:rsidR="00AA3C90" w:rsidRPr="009D7DB8" w:rsidTr="00AA3C90">
              <w:trPr>
                <w:trHeight w:val="2208"/>
              </w:trPr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lastRenderedPageBreak/>
                    <w:t>3.3.</w:t>
                  </w:r>
                </w:p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най-малко двама земеделски стопани/горски стопани или призната група/организация на производители</w:t>
                  </w:r>
                </w:p>
              </w:tc>
              <w:tc>
                <w:tcPr>
                  <w:tcW w:w="2522" w:type="pct"/>
                  <w:shd w:val="clear" w:color="auto" w:fill="auto"/>
                  <w:vAlign w:val="center"/>
                </w:tcPr>
                <w:p w:rsidR="00AA3C90" w:rsidRPr="009D7DB8" w:rsidRDefault="00AA3C90" w:rsidP="009D7DB8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включва най-малко двама земеделски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или двама горски стопани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или призната от министъра на земеделието и храните група ил</w:t>
                  </w:r>
                  <w:r w:rsidR="009D7DB8">
                    <w:rPr>
                      <w:rFonts w:ascii="Times New Roman" w:hAnsi="Times New Roman"/>
                      <w:lang w:val="bg-BG" w:eastAsia="en-US"/>
                    </w:rPr>
                    <w:t>и организация на производители.</w:t>
                  </w:r>
                </w:p>
              </w:tc>
              <w:tc>
                <w:tcPr>
                  <w:tcW w:w="544" w:type="pct"/>
                  <w:shd w:val="clear" w:color="auto" w:fill="auto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7</w:t>
                  </w:r>
                </w:p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highlight w:val="yellow"/>
                      <w:lang w:val="bg-BG" w:eastAsia="en-US"/>
                    </w:rPr>
                  </w:pP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3.5.</w:t>
                  </w: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Оперативната група е създадена чрез подкрепа по първа стъпка</w:t>
                  </w:r>
                </w:p>
              </w:tc>
              <w:tc>
                <w:tcPr>
                  <w:tcW w:w="2522" w:type="pct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Оперативната група е създадена в резултат от сключен договор по интервенция II.Ж.1 „Подкрепа за оперативни групи в рамките на Европейското партньорство за иновации“ от Стратегически план за развитие на земеделието и селските райони на Република България за периода 2023-2027 г. и включва като участник водещ партньор по процедура „Сформиране на оперативни групи (първа стъпка)“ от СПРЗСР 2023-2027 г. 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</w:t>
                  </w:r>
                </w:p>
              </w:tc>
            </w:tr>
            <w:tr w:rsidR="00AA3C90" w:rsidRPr="009D7DB8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  <w:vAlign w:val="center"/>
                </w:tcPr>
                <w:p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Популяризиране на резултатите (18 т.)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eastAsia="en-US"/>
                    </w:rPr>
                    <w:t>4.1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.</w:t>
                  </w: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Представен е широко обхватен план за популяризиране на резултатите от проекта</w:t>
                  </w: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В заявлението за подпомагане е представен комуникационен план, включващ съчетание от дигитални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(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социални медии, имейл маркетинг, SEO (оптимизация за търсачка), PPC (плащане за реклама в търсачките), създаване и публикуване на видеа и др.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)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, традиционни 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(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публикации в печатни издания, ТВ и радио публикации, външна реклама – билбордове, плакати, др.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)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и други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(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присъствени събития, конференции, участие в изложения и др.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)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маркетингови подходи за разпространение на резултатите от проекта, които да станат достояние на по-широк кръг от заинтересовани страни, в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т.ч. уебсайт на оперативната група.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13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4.2.</w:t>
                  </w: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Предвидени са демонстрационни мероприятия</w:t>
                  </w:r>
                </w:p>
              </w:tc>
              <w:tc>
                <w:tcPr>
                  <w:tcW w:w="2522" w:type="pct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Предвидените дейности в заявлението за подпомагане включват най-малко 2 бр. демонстрационни мероприятия в различни етапи от изпълнение на новаторския проект.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:rsidTr="00AA3C90">
              <w:tc>
                <w:tcPr>
                  <w:tcW w:w="5000" w:type="pct"/>
                  <w:gridSpan w:val="4"/>
                  <w:shd w:val="clear" w:color="auto" w:fill="C5E0B3" w:themeFill="accent6" w:themeFillTint="66"/>
                  <w:vAlign w:val="center"/>
                </w:tcPr>
                <w:p w:rsidR="00AA3C90" w:rsidRPr="009D7DB8" w:rsidRDefault="00AA3C90" w:rsidP="00AA3C90">
                  <w:pPr>
                    <w:numPr>
                      <w:ilvl w:val="0"/>
                      <w:numId w:val="41"/>
                    </w:numPr>
                    <w:contextualSpacing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Оценка на риска (12 т.)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5.1.</w:t>
                  </w: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Представена е ясна обосновка за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възможните предизвикателства в процеса на изпълнение на дейностите и постигане на очакваните резултати </w:t>
                  </w: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Направен е детайлен анализ на възможните предизвикателства за изпълнение на дейностите и начините за справяне с тях (напр. при отказ на някой от членовете на оперативната група, отказ на член на екипа, проблем с доставки на материали и консумативи и др.)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 xml:space="preserve">.  </w:t>
                  </w: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Направена е преценка какви са заплахите/ограниченията (напр. екологични, законодателни, географски и др.). 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2</w:t>
                  </w:r>
                </w:p>
              </w:tc>
            </w:tr>
            <w:tr w:rsidR="00AA3C90" w:rsidRPr="009D7DB8" w:rsidTr="00AA3C90">
              <w:tc>
                <w:tcPr>
                  <w:tcW w:w="415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5.2.</w:t>
                  </w:r>
                </w:p>
              </w:tc>
              <w:tc>
                <w:tcPr>
                  <w:tcW w:w="1519" w:type="pc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Осигурена финансова обезпеченост за реализация на проекта</w:t>
                  </w:r>
                </w:p>
              </w:tc>
              <w:tc>
                <w:tcPr>
                  <w:tcW w:w="2522" w:type="pct"/>
                  <w:vAlign w:val="center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Кандидатът доказва наличие на финансов ресурс в размер на 10 на сто от размера на заявените разходи за първа прогнозна година от изпълнение на плана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:rsidTr="00AA3C90">
              <w:trPr>
                <w:trHeight w:val="587"/>
              </w:trPr>
              <w:tc>
                <w:tcPr>
                  <w:tcW w:w="415" w:type="pct"/>
                  <w:vMerge w:val="restar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lastRenderedPageBreak/>
                    <w:t>5.3.</w:t>
                  </w:r>
                </w:p>
              </w:tc>
              <w:tc>
                <w:tcPr>
                  <w:tcW w:w="1519" w:type="pct"/>
                  <w:vMerge w:val="restart"/>
                  <w:vAlign w:val="center"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 xml:space="preserve">Опит в прилагането на проекти, свързани с иновации в сферата на селското/горското стопанство </w:t>
                  </w:r>
                </w:p>
              </w:tc>
              <w:tc>
                <w:tcPr>
                  <w:tcW w:w="2522" w:type="pct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Най-малко един от участниците в оперативната група доказва опит по внедряване на иновативни решения в практиката и/или участие в проект, свързан с иновации, финансиран по ПРСР 2014-2020 (подмярка 16.1) или Хоризонт 2020 или Хоризонт Европа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3</w:t>
                  </w:r>
                </w:p>
              </w:tc>
            </w:tr>
            <w:tr w:rsidR="00AA3C90" w:rsidRPr="009D7DB8" w:rsidTr="00AA3C90">
              <w:trPr>
                <w:trHeight w:val="383"/>
              </w:trPr>
              <w:tc>
                <w:tcPr>
                  <w:tcW w:w="415" w:type="pct"/>
                  <w:vMerge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1519" w:type="pct"/>
                  <w:vMerge/>
                </w:tcPr>
                <w:p w:rsidR="00AA3C90" w:rsidRPr="009D7DB8" w:rsidRDefault="00AA3C90" w:rsidP="00AA3C90">
                  <w:pPr>
                    <w:rPr>
                      <w:rFonts w:ascii="Times New Roman" w:hAnsi="Times New Roman"/>
                      <w:lang w:val="bg-BG" w:eastAsia="en-US"/>
                    </w:rPr>
                  </w:pPr>
                </w:p>
              </w:tc>
              <w:tc>
                <w:tcPr>
                  <w:tcW w:w="2522" w:type="pct"/>
                </w:tcPr>
                <w:p w:rsidR="00AA3C90" w:rsidRPr="009D7DB8" w:rsidRDefault="00AA3C90" w:rsidP="00AA3C90">
                  <w:pPr>
                    <w:jc w:val="both"/>
                    <w:rPr>
                      <w:rFonts w:ascii="Times New Roman" w:hAnsi="Times New Roman"/>
                      <w:lang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Най-малко двама от участниците в оперативната група доказват опит по внедряване на иновативни решения в практиката и/или участие в проект, свързан с иновации, финансиран по ПРСР 2014-2020 (подмярка 16.1) или Хоризонт 2020 или Хоризонт Европа</w:t>
                  </w:r>
                  <w:r w:rsidRPr="009D7DB8">
                    <w:rPr>
                      <w:rFonts w:ascii="Times New Roman" w:hAnsi="Times New Roman"/>
                      <w:lang w:eastAsia="en-US"/>
                    </w:rPr>
                    <w:t>.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lang w:val="bg-BG" w:eastAsia="en-US"/>
                    </w:rPr>
                    <w:t>5</w:t>
                  </w:r>
                </w:p>
              </w:tc>
            </w:tr>
            <w:tr w:rsidR="00AA3C90" w:rsidRPr="009D7DB8" w:rsidTr="00AA3C90">
              <w:tc>
                <w:tcPr>
                  <w:tcW w:w="4456" w:type="pct"/>
                  <w:gridSpan w:val="3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Максимален брой точки</w:t>
                  </w:r>
                </w:p>
              </w:tc>
              <w:tc>
                <w:tcPr>
                  <w:tcW w:w="544" w:type="pct"/>
                  <w:vAlign w:val="center"/>
                </w:tcPr>
                <w:p w:rsidR="00AA3C90" w:rsidRPr="009D7DB8" w:rsidRDefault="00AA3C90" w:rsidP="00AA3C90">
                  <w:pPr>
                    <w:jc w:val="center"/>
                    <w:rPr>
                      <w:rFonts w:ascii="Times New Roman" w:hAnsi="Times New Roman"/>
                      <w:b/>
                      <w:lang w:val="bg-BG" w:eastAsia="en-US"/>
                    </w:rPr>
                  </w:pPr>
                  <w:r w:rsidRPr="009D7DB8">
                    <w:rPr>
                      <w:rFonts w:ascii="Times New Roman" w:hAnsi="Times New Roman"/>
                      <w:b/>
                      <w:lang w:val="bg-BG" w:eastAsia="en-US"/>
                    </w:rPr>
                    <w:t>107</w:t>
                  </w:r>
                </w:p>
              </w:tc>
            </w:tr>
          </w:tbl>
          <w:p w:rsidR="004C1877" w:rsidRPr="00F70018" w:rsidRDefault="004C1877" w:rsidP="00AA3C90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F2D33" w:rsidRPr="002F2D33" w:rsidRDefault="002F2D33" w:rsidP="00A5342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>. Минимален брой точки по критериите за подбор за финансиране на едно заявление за подпомагане – 35 т.</w:t>
            </w:r>
          </w:p>
          <w:p w:rsidR="002F2D33" w:rsidRPr="002F2D33" w:rsidRDefault="002F2D33" w:rsidP="008C6F31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 xml:space="preserve">. За заявления за подпомагане, получили еднакъв общ брой точки по критериите за подбор, за които е наличен частичен разполагаем бюджет, класирането се извършва в низходящ ред съобразно получения общ брой точки по критериите за подбор, включени в следните приоритети: </w:t>
            </w:r>
          </w:p>
          <w:p w:rsidR="002F2D33" w:rsidRPr="002F2D33" w:rsidRDefault="002F2D33" w:rsidP="00EC5B79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а) Качество на новаторския план;</w:t>
            </w:r>
          </w:p>
          <w:p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б) Оценка на участниците в оперативната група;</w:t>
            </w:r>
          </w:p>
          <w:p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в) Принос и очаквано въздействие на новаторския проект във връзка със заложените цели в Стратегическия план;</w:t>
            </w:r>
          </w:p>
          <w:p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г) Популяризиране на резултатите;</w:t>
            </w:r>
          </w:p>
          <w:p w:rsidR="002F2D33" w:rsidRPr="002F2D33" w:rsidRDefault="002F2D33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2D33">
              <w:rPr>
                <w:rFonts w:ascii="Times New Roman" w:eastAsia="Calibri" w:hAnsi="Times New Roman"/>
                <w:sz w:val="24"/>
                <w:szCs w:val="24"/>
              </w:rPr>
              <w:t>д) Оценка на риска.</w:t>
            </w:r>
          </w:p>
          <w:p w:rsidR="00AA3C90" w:rsidRDefault="002F2D33" w:rsidP="00AA3C9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 xml:space="preserve">. Заявленията за подпомагане, получили еднакъв брой точки след класирането по реда на т. </w:t>
            </w:r>
            <w:r w:rsidR="000C00D8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4</w:t>
            </w:r>
            <w:r w:rsidRPr="002F2D33">
              <w:rPr>
                <w:rFonts w:ascii="Times New Roman" w:eastAsia="Calibri" w:hAnsi="Times New Roman"/>
                <w:sz w:val="24"/>
                <w:szCs w:val="24"/>
              </w:rPr>
              <w:t xml:space="preserve"> се класират по реда на чл. 12, ал. 1, т. 3 от Наредба № 4 от 25 октомври 2024 г.</w:t>
            </w:r>
          </w:p>
          <w:p w:rsidR="002F2D33" w:rsidRPr="00C0764E" w:rsidRDefault="002F2D33" w:rsidP="00AA3C90">
            <w:pPr>
              <w:spacing w:line="276" w:lineRule="auto"/>
              <w:ind w:right="-102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E1ADE" w:rsidRPr="004F39ED" w:rsidRDefault="00B3053F" w:rsidP="005B1132">
      <w:pPr>
        <w:pStyle w:val="Heading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211416843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CE1ADE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C5105A" w:rsidRPr="004F39ED">
        <w:rPr>
          <w:rFonts w:ascii="Times New Roman" w:hAnsi="Times New Roman" w:cs="Times New Roman"/>
          <w:b/>
          <w:color w:val="auto"/>
          <w:sz w:val="28"/>
          <w:szCs w:val="28"/>
        </w:rPr>
        <w:t>Изискуеми документи</w:t>
      </w:r>
      <w:r w:rsidR="005B1132" w:rsidRPr="004F39ED">
        <w:rPr>
          <w:rFonts w:ascii="Times New Roman" w:hAnsi="Times New Roman" w:cs="Times New Roman"/>
          <w:b/>
          <w:color w:val="auto"/>
          <w:sz w:val="28"/>
          <w:szCs w:val="28"/>
        </w:rPr>
        <w:t>, в т.ч. документи, доказващи съответствие с критерии за подбор</w:t>
      </w:r>
      <w:bookmarkEnd w:id="16"/>
      <w:r w:rsidR="00D65705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CE1ADE" w:rsidRPr="004F39ED" w:rsidTr="00AD603B">
        <w:trPr>
          <w:trHeight w:val="841"/>
        </w:trPr>
        <w:tc>
          <w:tcPr>
            <w:tcW w:w="9209" w:type="dxa"/>
          </w:tcPr>
          <w:p w:rsidR="00A67CC4" w:rsidRDefault="00F164F1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AD60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5714C" w:rsidRPr="0095714C">
              <w:rPr>
                <w:rFonts w:ascii="Times New Roman" w:hAnsi="Times New Roman"/>
                <w:sz w:val="24"/>
                <w:szCs w:val="24"/>
              </w:rPr>
              <w:t xml:space="preserve">Договор за сформиране и функциониране на оперативна група (Приложение № 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95714C">
              <w:rPr>
                <w:rFonts w:ascii="Times New Roman" w:hAnsi="Times New Roman"/>
                <w:sz w:val="24"/>
                <w:szCs w:val="24"/>
              </w:rPr>
              <w:t>)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5714C" w:rsidRPr="0095714C">
              <w:rPr>
                <w:rFonts w:ascii="Times New Roman" w:hAnsi="Times New Roman"/>
                <w:sz w:val="24"/>
                <w:szCs w:val="24"/>
              </w:rPr>
              <w:t>Представя се във формат „pdf“ или „jpg“.</w:t>
            </w:r>
          </w:p>
          <w:p w:rsidR="0095714C" w:rsidRPr="00AA3C90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2. Декларация от кандидата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всеки един от членовете на оперативната група (Приложение № 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).</w:t>
            </w:r>
            <w:r w:rsidR="00AA3C90" w:rsidRPr="0095714C">
              <w:rPr>
                <w:rFonts w:ascii="Times New Roman" w:hAnsi="Times New Roman"/>
                <w:sz w:val="24"/>
                <w:szCs w:val="24"/>
              </w:rPr>
              <w:t xml:space="preserve"> Представ</w:t>
            </w:r>
            <w:r w:rsidR="00AA3C90">
              <w:rPr>
                <w:rFonts w:ascii="Times New Roman" w:hAnsi="Times New Roman"/>
                <w:sz w:val="24"/>
                <w:szCs w:val="24"/>
              </w:rPr>
              <w:t>я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AA3C90">
              <w:rPr>
                <w:rFonts w:ascii="Times New Roman" w:hAnsi="Times New Roman"/>
                <w:sz w:val="24"/>
                <w:szCs w:val="24"/>
              </w:rPr>
              <w:t xml:space="preserve"> се </w:t>
            </w:r>
            <w:r w:rsidR="006A3F0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подписани и сканирани </w:t>
            </w:r>
            <w:r w:rsidR="00AA3C90">
              <w:rPr>
                <w:rFonts w:ascii="Times New Roman" w:hAnsi="Times New Roman"/>
                <w:sz w:val="24"/>
                <w:szCs w:val="24"/>
              </w:rPr>
              <w:t>във формат „pdf“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AA3C90">
              <w:rPr>
                <w:rFonts w:ascii="Times New Roman" w:hAnsi="Times New Roman"/>
                <w:sz w:val="24"/>
                <w:szCs w:val="24"/>
              </w:rPr>
              <w:t xml:space="preserve"> „jpg</w:t>
            </w:r>
            <w:proofErr w:type="gramStart"/>
            <w:r w:rsidR="00AA3C90">
              <w:rPr>
                <w:rFonts w:ascii="Times New Roman" w:hAnsi="Times New Roman"/>
                <w:sz w:val="24"/>
                <w:szCs w:val="24"/>
              </w:rPr>
              <w:t>“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или</w:t>
            </w:r>
            <w:proofErr w:type="gramEnd"/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електронно подписани с КЕП.</w:t>
            </w:r>
          </w:p>
          <w:p w:rsidR="0095714C" w:rsidRPr="0095714C" w:rsidRDefault="0095714C" w:rsidP="0095714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План за новаторски проект, Приложение № 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AA3C90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</w:t>
            </w:r>
            <w:r w:rsidR="00AA3C9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95714C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docx“,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подписан с КЕП.</w:t>
            </w:r>
          </w:p>
          <w:p w:rsidR="0095714C" w:rsidRPr="00573058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4. </w:t>
            </w:r>
            <w:r w:rsidR="00A91898" w:rsidRPr="00E03E3F">
              <w:rPr>
                <w:rFonts w:ascii="Times New Roman" w:hAnsi="Times New Roman"/>
                <w:sz w:val="24"/>
                <w:szCs w:val="24"/>
              </w:rPr>
              <w:t>Финансов план (</w:t>
            </w:r>
            <w:r w:rsidR="00A91898">
              <w:rPr>
                <w:rFonts w:ascii="Times New Roman" w:hAnsi="Times New Roman"/>
                <w:sz w:val="24"/>
                <w:szCs w:val="24"/>
              </w:rPr>
              <w:t xml:space="preserve">по образец Приложение № 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A91898" w:rsidRPr="00E03E3F">
              <w:rPr>
                <w:rFonts w:ascii="Times New Roman" w:hAnsi="Times New Roman"/>
                <w:sz w:val="24"/>
                <w:szCs w:val="24"/>
              </w:rPr>
              <w:t>).</w:t>
            </w:r>
            <w:r w:rsidR="00A918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1898" w:rsidRPr="00F831D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Представя се във формат „</w:t>
            </w:r>
            <w:r w:rsidR="00A9189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val="en-US"/>
              </w:rPr>
              <w:t>xls</w:t>
            </w:r>
            <w:r w:rsidR="0057305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m</w:t>
            </w:r>
            <w:r w:rsidR="00A91898" w:rsidRPr="00F831D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“</w:t>
            </w:r>
            <w:r w:rsidR="0057305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val="bg-BG"/>
              </w:rPr>
              <w:t>.</w:t>
            </w:r>
          </w:p>
          <w:p w:rsidR="0095714C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Най-малко три съпоставими независими оферти, които съдържат наименование, ЕИК или БУЛСТАТ и електронна поща на оферента, срока на валидност на офертата, датата на издаване на офертата, подпис на оферента, подробна техническа спецификация на активите/услугите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, цена, определена в левове/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евро с посочен ДДС (представя се за разходи по т. 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буква „г“ и „д“ и т. 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раздел 12. „Допустими разходи“, за които е приложимо).  Представят се във формат „pdf“ или „jpg”, или електронно подписани с 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КЕП. Към 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за подпомагане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 прилагат и запитвания за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>представените оферти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съгласно Приложение </w:t>
            </w:r>
            <w:r w:rsidRPr="009D7DB8">
              <w:rPr>
                <w:rFonts w:ascii="Times New Roman" w:hAnsi="Times New Roman"/>
                <w:sz w:val="24"/>
                <w:szCs w:val="24"/>
                <w:lang w:val="bg-BG"/>
              </w:rPr>
              <w:t>№</w:t>
            </w:r>
            <w:r w:rsidR="00A91898" w:rsidRPr="009D7DB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D7DB8" w:rsidRPr="009D7DB8"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  <w:r w:rsidR="00A91898" w:rsidRPr="009D7DB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95714C" w:rsidRPr="00FB6378" w:rsidRDefault="00A91898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Съотносими документи, доказващи компетентност или опит в областта на предлаганата услуга в случаите на физически лица оференти, предоставящи услуги в частта преки неинвестиционни разходи  по т.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, буква „д“ от Раздел 12. „Допустими разходи“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Представя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 във формат „pdf“ или „jpg“.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Когато този документ не е представен към датата на подаване на заявлението за подпомагане, кандидатът трябва да го представи най-късно в срока, посочен в писмото по чл. 12, ал. 5 от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95714C" w:rsidRPr="004F15E3" w:rsidRDefault="0095714C" w:rsidP="00A67CC4">
            <w:pPr>
              <w:spacing w:after="120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7. 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водите. Представя се във формат „pdf“ или „jpg“ 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(Документа се изисква във връзка с дейностите включени в </w:t>
            </w:r>
            <w:r w:rsidR="00E70C4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заявлението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в своята цялост. 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A9189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г.</w:t>
            </w:r>
          </w:p>
          <w:p w:rsidR="0095714C" w:rsidRPr="00FB6378" w:rsidRDefault="0095714C" w:rsidP="00A67CC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8. </w:t>
            </w:r>
            <w:r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Документ за собственост на земя и/или друг вид недвижими имоти, обект на дейностите по проекта (представя се в случаите, когато проектът ще се изпълнява върху имот – собственост на кандидата или член на оперативната група). Представ</w:t>
            </w:r>
            <w:r w:rsidR="003271AF">
              <w:rPr>
                <w:rFonts w:ascii="Times New Roman" w:hAnsi="Times New Roman"/>
                <w:sz w:val="24"/>
                <w:szCs w:val="24"/>
                <w:lang w:val="bg-BG"/>
              </w:rPr>
              <w:t>я се във формат „pdf“ или „jpg“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Когато този документ не е представен към датата на подаване на заявлението за подпомагане, кандидатът трябва да го представи най-късно в срока, посочен в писмото по чл. 12, ал. 5 от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D349C6" w:rsidRDefault="009A3F32" w:rsidP="0095714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9. 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Документ за ползване или предварителен договор за ползване на земя </w:t>
            </w:r>
            <w:r w:rsidR="0028191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или </w:t>
            </w:r>
            <w:r w:rsidR="00281916" w:rsidRPr="00D911C0">
              <w:rPr>
                <w:rFonts w:ascii="Times New Roman" w:hAnsi="Times New Roman"/>
                <w:sz w:val="24"/>
                <w:szCs w:val="24"/>
                <w:lang w:val="bg-BG"/>
              </w:rPr>
              <w:t>споразумени</w:t>
            </w:r>
            <w:r w:rsidR="00281916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="00281916" w:rsidRPr="00D911C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ползване по чл.37в и чл.37ж от ЗСПЗЗ</w:t>
            </w:r>
            <w:r w:rsidR="00281916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281916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и/или друг вид недвижими имоти</w:t>
            </w:r>
            <w:r w:rsidR="00710237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изпълнение на </w:t>
            </w:r>
            <w:r w:rsidR="0071023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дейностите по 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>проект</w:t>
            </w:r>
            <w:r w:rsidR="00710237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="0095714C" w:rsidRPr="0095714C">
              <w:rPr>
                <w:rFonts w:ascii="Times New Roman" w:hAnsi="Times New Roman"/>
                <w:sz w:val="24"/>
                <w:szCs w:val="24"/>
                <w:lang w:val="bg-BG"/>
              </w:rPr>
              <w:t>. Представ</w:t>
            </w:r>
            <w:r w:rsidR="0095714C">
              <w:rPr>
                <w:rFonts w:ascii="Times New Roman" w:hAnsi="Times New Roman"/>
                <w:sz w:val="24"/>
                <w:szCs w:val="24"/>
                <w:lang w:val="bg-BG"/>
              </w:rPr>
              <w:t>я се във формат „pdf“ или „jpg“.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:rsidR="001263DD" w:rsidRDefault="001263DD" w:rsidP="001263DD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10. </w:t>
            </w:r>
            <w:r w:rsidRPr="004022C5">
              <w:rPr>
                <w:rFonts w:ascii="Times New Roman" w:hAnsi="Times New Roman"/>
                <w:sz w:val="24"/>
                <w:szCs w:val="24"/>
                <w:lang w:val="bg-BG"/>
              </w:rPr>
              <w:t>Лицензи, разрешения и/или документ, удостоверяващ регистрацията за дейности  по проекта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(когато е приложимо)</w:t>
            </w:r>
            <w:r w:rsidRPr="004022C5">
              <w:rPr>
                <w:rFonts w:ascii="Times New Roman" w:hAnsi="Times New Roman"/>
                <w:sz w:val="24"/>
                <w:szCs w:val="24"/>
                <w:lang w:val="bg-BG"/>
              </w:rPr>
              <w:t>. Представя се във формат „pdf“ или „jpg“.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:rsidR="009A3F32" w:rsidRDefault="009A3F32" w:rsidP="0095714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Декларация </w:t>
            </w:r>
            <w:r w:rsidR="00C204A9">
              <w:rPr>
                <w:rFonts w:ascii="Times New Roman" w:hAnsi="Times New Roman"/>
                <w:sz w:val="24"/>
                <w:szCs w:val="24"/>
                <w:lang w:val="bg-BG"/>
              </w:rPr>
              <w:t>за обстоятелства по чл. 3 и чл. 4 от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ЗМСП за членовете на опер</w:t>
            </w:r>
            <w:r w:rsidR="008562FC">
              <w:rPr>
                <w:rFonts w:ascii="Times New Roman" w:hAnsi="Times New Roman"/>
                <w:sz w:val="24"/>
                <w:szCs w:val="24"/>
                <w:lang w:val="bg-BG"/>
              </w:rPr>
              <w:t>ативната група по т. 2, буква „ж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“ от Раздел 7. </w:t>
            </w:r>
            <w:r w:rsidR="008562FC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>Допустими кандидати</w:t>
            </w:r>
            <w:r w:rsidR="008562FC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</w:t>
            </w:r>
            <w:hyperlink r:id="rId14" w:history="1">
              <w:r w:rsidR="008562FC" w:rsidRPr="00C204A9"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по образец, утвърден от министъра на икономиката и енергетиката</w:t>
              </w:r>
            </w:hyperlink>
            <w:r w:rsidR="008562FC" w:rsidRPr="008562FC">
              <w:rPr>
                <w:rFonts w:ascii="Times New Roman" w:hAnsi="Times New Roman"/>
                <w:sz w:val="24"/>
                <w:szCs w:val="24"/>
                <w:lang w:val="bg-BG"/>
              </w:rPr>
              <w:t>) с подпис/и, сканирана във формат „pdf“ или „jpg“.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:rsidR="004022C5" w:rsidRPr="00FB6378" w:rsidRDefault="004022C5" w:rsidP="004022C5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 xml:space="preserve">Инвентарна книга на всеки един от членовете на оперативната група, който ще предостави за ползване активи на оперативната група - към датата на подаване на 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заявлението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 xml:space="preserve"> с разбивка по вид на актив, дата и цена на придобиване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(ако е приложимо)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>. Представя се във формат „pdf“ или „jpg“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4022C5" w:rsidRPr="00FB6378" w:rsidRDefault="004022C5" w:rsidP="004022C5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 xml:space="preserve"> Данъчен амортизационен план, в който е включен съответния актив от документа по т. 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Pr="004022C5">
              <w:rPr>
                <w:rFonts w:ascii="Times New Roman" w:hAnsi="Times New Roman"/>
                <w:sz w:val="24"/>
                <w:szCs w:val="24"/>
              </w:rPr>
              <w:t>. Представ</w:t>
            </w:r>
            <w:r w:rsidR="00E70C48">
              <w:rPr>
                <w:rFonts w:ascii="Times New Roman" w:hAnsi="Times New Roman"/>
                <w:sz w:val="24"/>
                <w:szCs w:val="24"/>
              </w:rPr>
              <w:t>я се във формат „pdf</w:t>
            </w:r>
            <w:proofErr w:type="gramStart"/>
            <w:r w:rsidR="00E70C48">
              <w:rPr>
                <w:rFonts w:ascii="Times New Roman" w:hAnsi="Times New Roman"/>
                <w:sz w:val="24"/>
                <w:szCs w:val="24"/>
              </w:rPr>
              <w:t>“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„jpg“</w:t>
            </w:r>
            <w:r w:rsidR="00E70C4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(ако е приложимо)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Когато този документ не е представен към датата 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4022C5" w:rsidRDefault="00166F07" w:rsidP="009F691B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1263DD"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9F691B">
              <w:rPr>
                <w:rFonts w:ascii="Times New Roman" w:hAnsi="Times New Roman"/>
                <w:sz w:val="24"/>
                <w:szCs w:val="24"/>
                <w:lang w:val="bg-BG"/>
              </w:rPr>
              <w:t>Договори, референции</w:t>
            </w:r>
            <w:r w:rsidRPr="00166F0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др. за участниците </w:t>
            </w:r>
            <w:r w:rsidR="009F69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ЮЛНЦ </w:t>
            </w:r>
            <w:r w:rsidRPr="00166F0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доказване на </w:t>
            </w:r>
            <w:r w:rsidR="009F691B" w:rsidRPr="009F691B">
              <w:rPr>
                <w:rFonts w:ascii="Times New Roman" w:hAnsi="Times New Roman"/>
                <w:sz w:val="24"/>
                <w:szCs w:val="24"/>
                <w:lang w:val="bg-BG"/>
              </w:rPr>
              <w:t>предмет на дейност в областта на селското стопанство или в областта на горското стопанство или опазване на околната среда или водите или дигиталните/цифрови технологии</w:t>
            </w:r>
            <w:r w:rsidR="009F69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Pr="00166F0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Представя се във формат „pdf“ или „jpg”.</w:t>
            </w:r>
            <w:r w:rsidR="00FB63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Когато този документ не е представен към датата на подаване на заявлението за подпомагане, кандидатът трябва да го представи най-късно в срока, посочен в писмото по чл. 12, ал. 5 от </w:t>
            </w:r>
            <w:r w:rsidR="00FB6378" w:rsidRPr="00FB637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</w:p>
          <w:p w:rsidR="001263DD" w:rsidRDefault="001263DD" w:rsidP="006208B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263DD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Pr="001263D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Документи, доказващи, че консултантската организация/индивидуалния съветник</w:t>
            </w:r>
            <w:r w:rsidR="00A9189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т. 2, буква „з“ от Раздел 7 „Допустими кандидати“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включени в заявлението за подпомагане, извършват консултантска дейност в сферата на селското/горско стопанство или храните (ако е приложимо). Документите могат да бъдат: договори за предоставени и/или предоставяни към датата на подаване на заявлението за подпомагане консултантски услуги в сферата на селското/горско стопанство или храните и/или подписани референции от лица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получили от съответния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партньор консултантските услуги в сферата на селското/горско стопанство или храните и/или опис на нормативен документ/нормативни доку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менти определящи, че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партньорът предоставя консултантски услуги в сферата на селското/горско стопанство или храните и/или опис на дейностите включени в п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редмета на дейност на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партньора, съгласно търговския регистър и/или друг официален регистър, показващи, че са включени като предмет на дейност предоставянето на консултантски услуги в сферата на селското/горско стопанство или храните, както и/или други документи с официален ха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рактер доказващи, че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>партньорът е консултантската организация/индивидуал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ен </w:t>
            </w:r>
            <w:r w:rsidR="005D5067" w:rsidRPr="005D506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съветник в сферата на селското/горско стопанство или храните. Представят се във формат „.pdf“, „.jpg“, „.rar“, „.7z“ или „.zip“. </w:t>
            </w:r>
            <w:r w:rsidRPr="00A91898">
              <w:rPr>
                <w:rFonts w:ascii="Times New Roman" w:hAnsi="Times New Roman"/>
                <w:sz w:val="24"/>
                <w:szCs w:val="24"/>
                <w:lang w:val="bg-BG"/>
              </w:rPr>
              <w:t>(не се представя от НССЗ)</w:t>
            </w:r>
            <w:r w:rsidR="00D66F20" w:rsidRPr="00A9189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(Информацията се използва </w:t>
            </w:r>
            <w:r w:rsidR="00443AE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 определяне нивото на оценка по Критерий № </w:t>
            </w:r>
            <w:r w:rsidR="00443AE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443AE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D66F20" w:rsidRPr="00A9189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)</w:t>
            </w:r>
            <w:r w:rsidR="0057305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BF2A8C" w:rsidRDefault="00BF2A8C" w:rsidP="006208BE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16. 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>Банково удостоверение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или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заверено банково извлечение, 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>удостоверяващи наличието на финансови средства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 сметка на Операт</w:t>
            </w:r>
            <w:r w:rsidR="004C6FC9">
              <w:rPr>
                <w:rFonts w:ascii="Times New Roman" w:hAnsi="Times New Roman"/>
                <w:sz w:val="24"/>
                <w:szCs w:val="24"/>
                <w:lang w:val="bg-BG"/>
              </w:rPr>
              <w:t>ивната група. Документът се представя с</w:t>
            </w:r>
            <w:r w:rsidR="004C6FC9" w:rsidRPr="004C6FC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дата, предхождаща датата на подаване на </w:t>
            </w:r>
            <w:r w:rsidR="004C6FC9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за подпомагане.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(Информацията се използва за определяне нивото на оценка по Критерий № 5.2)</w:t>
            </w:r>
            <w:r w:rsidRPr="00BF2A8C">
              <w:rPr>
                <w:rFonts w:ascii="Times New Roman" w:hAnsi="Times New Roman"/>
                <w:sz w:val="24"/>
                <w:szCs w:val="24"/>
                <w:lang w:val="bg-BG"/>
              </w:rPr>
              <w:t>. Представя се във формат „pdf“ или „jpg”.</w:t>
            </w:r>
          </w:p>
          <w:p w:rsidR="00E67D8A" w:rsidRDefault="00E67D8A" w:rsidP="001410A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17. Договори</w:t>
            </w:r>
            <w:r w:rsidR="00E025F9">
              <w:rPr>
                <w:rFonts w:ascii="Times New Roman" w:hAnsi="Times New Roman"/>
                <w:sz w:val="24"/>
                <w:szCs w:val="24"/>
                <w:lang w:val="bg-BG"/>
              </w:rPr>
              <w:t>, референции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или други релевантни документи на член/ове на оперативната група, които </w:t>
            </w:r>
            <w:r w:rsidRPr="00E67D8A">
              <w:rPr>
                <w:rFonts w:ascii="Times New Roman" w:hAnsi="Times New Roman"/>
                <w:sz w:val="24"/>
                <w:szCs w:val="24"/>
                <w:lang w:val="bg-BG"/>
              </w:rPr>
              <w:t>доказва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Pr="00E67D8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опит по внедряване на иновативни решения в практиката и/или участие в проект, свързан с иновации, финансиран по ПРСР 2014-2020 (подмярка 16.1) или Хоризонт 2020 или Хоризонт Европа</w:t>
            </w:r>
            <w:r>
              <w:t xml:space="preserve"> </w:t>
            </w:r>
            <w:r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(Информацията се използва за определяне нивото на оценка по Критерий № 5.3)</w:t>
            </w:r>
            <w:r w:rsidRPr="00E67D8A">
              <w:rPr>
                <w:rFonts w:ascii="Times New Roman" w:hAnsi="Times New Roman"/>
                <w:sz w:val="24"/>
                <w:szCs w:val="24"/>
                <w:lang w:val="bg-BG"/>
              </w:rPr>
              <w:t>. Представя се във формат „pdf“ или „jpg”.</w:t>
            </w:r>
          </w:p>
          <w:p w:rsidR="00F379AE" w:rsidRPr="00FB6378" w:rsidRDefault="00F379AE" w:rsidP="001410A2">
            <w:pPr>
              <w:spacing w:after="12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</w:pPr>
            <w:r w:rsidRPr="008F28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18. </w:t>
            </w:r>
            <w:r w:rsidR="00DE17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Професионална </w:t>
            </w:r>
            <w:r w:rsidR="00DE175A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втобиография за лица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>та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, определени като екип на членове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оперативната група, попадащи в ка</w:t>
            </w:r>
            <w:r w:rsidR="00AD5B1C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710237" w:rsidRPr="00AD5B1C">
              <w:rPr>
                <w:rFonts w:ascii="Times New Roman" w:hAnsi="Times New Roman"/>
                <w:sz w:val="24"/>
                <w:szCs w:val="24"/>
                <w:lang w:val="bg-BG"/>
              </w:rPr>
              <w:t>егориите по т. 2, букви „в“, „г“, „д“, „е“ и „ж“ от Раздел 7 „Допустими кандидати“.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Когато този документ не е представен към датата 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на подаване на заявлението за подпомагане, кандидатът трябва да го представи най-късно в срока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 посочен в писмото</w:t>
            </w:r>
            <w:r w:rsidR="00FB6378" w:rsidRPr="004F15E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чл. 12, ал. 5 от </w:t>
            </w:r>
            <w:r w:rsidR="00FB6378" w:rsidRPr="00A91898">
              <w:rPr>
                <w:rFonts w:ascii="Times New Roman" w:hAnsi="Times New Roman"/>
                <w:i/>
                <w:sz w:val="24"/>
                <w:szCs w:val="24"/>
              </w:rPr>
              <w:t>Наредба № 4 от 25 октомври 2024 г</w:t>
            </w:r>
            <w:r w:rsidR="00FB63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2F7696" w:rsidRDefault="002F7696" w:rsidP="002F7696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769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Изискуеми документи преди сключване на договор</w:t>
            </w:r>
          </w:p>
          <w:p w:rsidR="002F7696" w:rsidRDefault="002F7696" w:rsidP="002F7696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Pr="002F7696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за наличие или липса на задължения към общината по седалище на одобрения кандидат и членовете на ОГ. Представя се във формат „pdf“ или „jpg”.</w:t>
            </w:r>
          </w:p>
          <w:p w:rsidR="002F7696" w:rsidRPr="002F7696" w:rsidRDefault="002F7696" w:rsidP="002F7696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2. Резюме на одобрения новаторски проект (</w:t>
            </w:r>
            <w:r>
              <w:rPr>
                <w:rFonts w:ascii="Times New Roman" w:hAnsi="Times New Roman"/>
                <w:sz w:val="24"/>
                <w:szCs w:val="24"/>
              </w:rPr>
              <w:t>EIP-AGRI common format for Operational Groups 2023-2027)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hyperlink r:id="rId15" w:history="1">
              <w:r w:rsidRPr="002F7696"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съгл</w:t>
              </w:r>
              <w:r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а</w:t>
              </w:r>
              <w:r w:rsidRPr="002F7696">
                <w:rPr>
                  <w:rStyle w:val="Hyperlink"/>
                  <w:rFonts w:ascii="Times New Roman" w:hAnsi="Times New Roman"/>
                  <w:sz w:val="24"/>
                  <w:szCs w:val="24"/>
                  <w:lang w:val="bg-BG"/>
                </w:rPr>
                <w:t>сно форма на ЕПИ</w:t>
              </w:r>
            </w:hyperlink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F43F2">
              <w:rPr>
                <w:rFonts w:ascii="Times New Roman" w:hAnsi="Times New Roman"/>
                <w:sz w:val="24"/>
                <w:szCs w:val="24"/>
              </w:rPr>
              <w:t xml:space="preserve">Представя се във формат </w:t>
            </w:r>
            <w:r w:rsidRPr="002F7696">
              <w:rPr>
                <w:rFonts w:ascii="Times New Roman" w:hAnsi="Times New Roman"/>
                <w:sz w:val="24"/>
                <w:szCs w:val="24"/>
              </w:rPr>
              <w:t>„</w:t>
            </w:r>
            <w:r w:rsidRPr="002F7696">
              <w:rPr>
                <w:rFonts w:ascii="Times New Roman" w:hAnsi="Times New Roman"/>
                <w:sz w:val="24"/>
                <w:szCs w:val="24"/>
                <w:lang w:val="en-US"/>
              </w:rPr>
              <w:t>xlsx</w:t>
            </w:r>
            <w:r w:rsidRPr="002F7696"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  <w:r w:rsidRPr="002F76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35695" w:rsidRPr="004F39ED" w:rsidRDefault="00B3053F" w:rsidP="00635695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211416844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635695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Подготовка и подаване на заявления за подпомагане</w:t>
      </w:r>
      <w:bookmarkEnd w:id="17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635695" w:rsidRPr="004F39ED" w:rsidTr="00F51D94">
        <w:tc>
          <w:tcPr>
            <w:tcW w:w="9209" w:type="dxa"/>
          </w:tcPr>
          <w:p w:rsidR="00635695" w:rsidRPr="00241F36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 xml:space="preserve">Кандидатстването се извършва единствено чрез електронно подадено заявление за подпомагане в СЕУ на интернет адрес: </w:t>
            </w:r>
            <w:hyperlink r:id="rId16" w:history="1">
              <w:r w:rsidR="00F51D94" w:rsidRPr="00FC01A6">
                <w:rPr>
                  <w:rFonts w:ascii="Times New Roman" w:hAnsi="Times New Roman"/>
                  <w:sz w:val="24"/>
                  <w:szCs w:val="24"/>
                </w:rPr>
                <w:t>https://seu.dfz.bg/</w:t>
              </w:r>
            </w:hyperlink>
            <w:r w:rsidR="00F51D94" w:rsidRPr="00F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>в срока на приема, посочен в заповедта за утвърждава</w:t>
            </w:r>
            <w:r w:rsidRPr="00FC01A6">
              <w:rPr>
                <w:rFonts w:ascii="Times New Roman" w:hAnsi="Times New Roman"/>
                <w:sz w:val="24"/>
              </w:rPr>
              <w:t>н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 xml:space="preserve">е на </w:t>
            </w:r>
            <w:r w:rsidR="000575CD" w:rsidRPr="00FC01A6">
              <w:rPr>
                <w:rFonts w:ascii="Times New Roman" w:hAnsi="Times New Roman"/>
                <w:sz w:val="24"/>
                <w:szCs w:val="24"/>
              </w:rPr>
              <w:t>насоките за кандидатстване. Редът</w:t>
            </w:r>
            <w:r w:rsidRPr="00FC01A6">
              <w:rPr>
                <w:rFonts w:ascii="Times New Roman" w:hAnsi="Times New Roman"/>
                <w:sz w:val="24"/>
                <w:szCs w:val="24"/>
              </w:rPr>
              <w:t xml:space="preserve"> за подаване на заявления е определен в Наредба № 105 от 22.08.2006 г. за условията и реда за създаване, поддържане, достъп и ползване на Интегрираната система за администриране и контрол. </w:t>
            </w:r>
          </w:p>
          <w:p w:rsidR="000C26CE" w:rsidRPr="00241F36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FC01A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01A6" w:rsidRPr="00FC01A6">
              <w:rPr>
                <w:rFonts w:ascii="Times New Roman" w:hAnsi="Times New Roman"/>
                <w:sz w:val="24"/>
              </w:rPr>
              <w:t>Кандидатите могат да подават само едно заявление за подпомагане в рамките на срока за подаване на заявления за подпомагане</w:t>
            </w:r>
            <w:r w:rsidR="000C26CE" w:rsidRPr="00F66937">
              <w:rPr>
                <w:rFonts w:ascii="Times New Roman" w:hAnsi="Times New Roman"/>
                <w:sz w:val="24"/>
              </w:rPr>
              <w:t>.</w:t>
            </w:r>
            <w:r w:rsidR="000C26CE" w:rsidRPr="00FC01A6">
              <w:rPr>
                <w:rFonts w:ascii="Times New Roman" w:hAnsi="Times New Roman"/>
                <w:sz w:val="24"/>
              </w:rPr>
              <w:t xml:space="preserve"> </w:t>
            </w:r>
            <w:r w:rsidR="00FC01A6" w:rsidRPr="00E62B29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bg-BG"/>
              </w:rPr>
              <w:t>С подаване на всяко следващо заявление за подпомагане в срока на обявения прием предходното заявление по същия прием се счита за оттеглено</w:t>
            </w:r>
            <w:r w:rsidR="00FC01A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bg-BG"/>
              </w:rPr>
              <w:t>.</w:t>
            </w:r>
          </w:p>
          <w:p w:rsidR="00635695" w:rsidRPr="004F39ED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3. Документите се прилагат към заявление</w:t>
            </w:r>
            <w:r w:rsidR="00324202" w:rsidRPr="004F39ED">
              <w:rPr>
                <w:rFonts w:ascii="Times New Roman" w:hAnsi="Times New Roman"/>
                <w:sz w:val="24"/>
                <w:szCs w:val="24"/>
              </w:rPr>
              <w:t>то</w:t>
            </w:r>
            <w:r w:rsidR="00F3419D">
              <w:rPr>
                <w:rFonts w:ascii="Times New Roman" w:hAnsi="Times New Roman"/>
                <w:sz w:val="24"/>
                <w:szCs w:val="24"/>
              </w:rPr>
              <w:t xml:space="preserve"> за подпомагане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 xml:space="preserve">във формат, указан в Раздел </w:t>
            </w:r>
            <w:r w:rsidR="00E3079B" w:rsidRPr="004F39ED">
              <w:rPr>
                <w:rFonts w:ascii="Times New Roman" w:hAnsi="Times New Roman"/>
                <w:sz w:val="24"/>
                <w:szCs w:val="24"/>
              </w:rPr>
              <w:t>1</w:t>
            </w:r>
            <w:r w:rsidR="00F66937"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="00E3079B" w:rsidRPr="004F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„</w:t>
            </w:r>
            <w:r w:rsidR="00324202" w:rsidRPr="004F39ED">
              <w:rPr>
                <w:rFonts w:ascii="Times New Roman" w:hAnsi="Times New Roman"/>
                <w:sz w:val="24"/>
                <w:szCs w:val="24"/>
              </w:rPr>
              <w:t>Изискуеми документи, в т.ч. документи, доказващи съответствие с критерии за подбор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“. Оригиналите на документите се съхраняват от кандидата и се представят при поискване.</w:t>
            </w:r>
          </w:p>
          <w:p w:rsidR="00635695" w:rsidRPr="004F39ED" w:rsidRDefault="00635695" w:rsidP="00AE0C9D">
            <w:pPr>
              <w:spacing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4. Кореспонденцията и уведомленията във връзка с оценката на заявлението за подпомагане се осъществяват </w:t>
            </w:r>
            <w:r w:rsidR="005730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единствено </w:t>
            </w:r>
            <w:r w:rsidRPr="004F39ED">
              <w:rPr>
                <w:rFonts w:ascii="Times New Roman" w:hAnsi="Times New Roman"/>
                <w:sz w:val="24"/>
                <w:szCs w:val="24"/>
              </w:rPr>
              <w:t>през СЕУ.</w:t>
            </w:r>
          </w:p>
          <w:p w:rsidR="00635695" w:rsidRPr="004F39ED" w:rsidRDefault="00635695" w:rsidP="00324202">
            <w:pPr>
              <w:spacing w:after="12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F341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Заявлението за подпомагане може да бъде подадено и при липса и/или нередовност, но само когато те се отнасят за документи, които не променят качеството на заявлението за подпомагане и това изрично е отбелязано срещу съответния документ в раздел </w:t>
            </w:r>
            <w:r w:rsidR="00E3079B" w:rsidRPr="00F3419D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2F7696">
              <w:rPr>
                <w:rFonts w:ascii="Times New Roman" w:hAnsi="Times New Roman"/>
                <w:sz w:val="24"/>
                <w:szCs w:val="24"/>
              </w:rPr>
              <w:t>6</w:t>
            </w:r>
            <w:r w:rsidR="00E3079B" w:rsidRPr="00F3419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F3419D">
              <w:rPr>
                <w:rFonts w:ascii="Times New Roman" w:hAnsi="Times New Roman"/>
                <w:sz w:val="24"/>
                <w:szCs w:val="24"/>
                <w:lang w:val="bg-BG"/>
              </w:rPr>
              <w:t>„</w:t>
            </w:r>
            <w:r w:rsidR="00324202" w:rsidRPr="00F3419D">
              <w:rPr>
                <w:rFonts w:ascii="Times New Roman" w:hAnsi="Times New Roman"/>
                <w:sz w:val="24"/>
                <w:szCs w:val="24"/>
                <w:lang w:val="bg-BG"/>
              </w:rPr>
              <w:t>Изискуеми документи, в т.ч. документи, доказващи съответствие с критерии за подбор и документи, които следва да бъдат представени преди сключване на договор</w:t>
            </w:r>
            <w:r w:rsidRPr="00F3419D">
              <w:rPr>
                <w:rFonts w:ascii="Times New Roman" w:hAnsi="Times New Roman"/>
                <w:sz w:val="24"/>
                <w:szCs w:val="24"/>
                <w:lang w:val="bg-BG"/>
              </w:rPr>
              <w:t>“.</w:t>
            </w:r>
          </w:p>
        </w:tc>
      </w:tr>
    </w:tbl>
    <w:p w:rsidR="00C5105A" w:rsidRPr="004F39ED" w:rsidRDefault="00B3053F" w:rsidP="00C5105A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211416845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C5105A" w:rsidRPr="004F39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0D4542" w:rsidRPr="004F39ED">
        <w:rPr>
          <w:rFonts w:ascii="Times New Roman" w:hAnsi="Times New Roman" w:cs="Times New Roman"/>
          <w:b/>
          <w:color w:val="auto"/>
          <w:sz w:val="28"/>
          <w:szCs w:val="28"/>
        </w:rPr>
        <w:t>Други специфични условия</w:t>
      </w:r>
      <w:bookmarkEnd w:id="1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105A" w:rsidRPr="004F39ED" w:rsidTr="0018416F">
        <w:trPr>
          <w:trHeight w:val="983"/>
        </w:trPr>
        <w:tc>
          <w:tcPr>
            <w:tcW w:w="9062" w:type="dxa"/>
          </w:tcPr>
          <w:p w:rsidR="00E50CEE" w:rsidRPr="00DF43F2" w:rsidRDefault="001A34C1" w:rsidP="00DF43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1</w:t>
            </w:r>
            <w:r w:rsidR="005A1318" w:rsidRPr="004F39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50CEE" w:rsidRPr="004F39ED">
              <w:rPr>
                <w:rFonts w:ascii="Times New Roman" w:hAnsi="Times New Roman"/>
                <w:sz w:val="24"/>
                <w:szCs w:val="24"/>
              </w:rPr>
              <w:t xml:space="preserve">По настоящата процедура следва да е налице съответствие на </w:t>
            </w:r>
            <w:r w:rsidR="00934063" w:rsidRPr="004F39ED">
              <w:rPr>
                <w:rFonts w:ascii="Times New Roman" w:hAnsi="Times New Roman"/>
                <w:sz w:val="24"/>
                <w:szCs w:val="24"/>
              </w:rPr>
              <w:t>заявленията за подпомагане</w:t>
            </w:r>
            <w:r w:rsidR="00E50CEE" w:rsidRPr="004F39ED">
              <w:rPr>
                <w:rFonts w:ascii="Times New Roman" w:hAnsi="Times New Roman"/>
                <w:sz w:val="24"/>
                <w:szCs w:val="24"/>
              </w:rPr>
              <w:t xml:space="preserve"> със следните принципи на хоризонталните политики на ЕС:</w:t>
            </w:r>
          </w:p>
          <w:p w:rsidR="00E50CEE" w:rsidRPr="00FF727D" w:rsidRDefault="00E50CEE" w:rsidP="001A34C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9ED">
              <w:rPr>
                <w:rFonts w:ascii="Times New Roman" w:hAnsi="Times New Roman"/>
                <w:sz w:val="24"/>
                <w:szCs w:val="24"/>
              </w:rPr>
              <w:t>равнопоставеност и недопускане на дискриминацията - насърчаване на равните възможности за всички, включително възможностите за достъп за хора с увреждания чрез интегрирането на принципа на недискриминация. Европейският съюз насърчава равнопоставеността както между мъжете и жените, така и между представителите на различните малцинствени групи и се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Условията за кандидатстване, независимо от техния пол, етническа принадлежност или вид увреждане.</w:t>
            </w:r>
          </w:p>
          <w:p w:rsidR="00D65705" w:rsidRPr="00AA5D84" w:rsidRDefault="00E50CEE" w:rsidP="00F66937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86A">
              <w:rPr>
                <w:rFonts w:ascii="Times New Roman" w:hAnsi="Times New Roman"/>
                <w:sz w:val="24"/>
                <w:szCs w:val="24"/>
              </w:rPr>
              <w:t xml:space="preserve">устойчиво развитие – подкрепа за проекти, които допринасят за опазване на околната среда, повишаване на ресурсната ефективност или смекчаване на последиците от изменение на климата и приспособяване към тях. </w:t>
            </w:r>
          </w:p>
        </w:tc>
      </w:tr>
    </w:tbl>
    <w:p w:rsidR="000D4542" w:rsidRPr="004F39ED" w:rsidRDefault="00B3053F" w:rsidP="000D4542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211416846"/>
      <w:r w:rsidRPr="004F39E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272AA3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="000D4542" w:rsidRPr="004F39ED">
        <w:rPr>
          <w:rFonts w:ascii="Times New Roman" w:hAnsi="Times New Roman" w:cs="Times New Roman"/>
          <w:b/>
          <w:color w:val="auto"/>
          <w:sz w:val="28"/>
          <w:szCs w:val="28"/>
        </w:rPr>
        <w:t>. Приложения</w:t>
      </w:r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4542" w:rsidRPr="004F39ED" w:rsidTr="002D2FBD">
        <w:trPr>
          <w:trHeight w:val="699"/>
        </w:trPr>
        <w:tc>
          <w:tcPr>
            <w:tcW w:w="9062" w:type="dxa"/>
          </w:tcPr>
          <w:p w:rsidR="0036201F" w:rsidRPr="004C002D" w:rsidRDefault="001A34C1" w:rsidP="003620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1 </w:t>
            </w:r>
            <w:r w:rsidR="00686C91" w:rsidRPr="00686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 за сформиране и функциониране на оперативна група</w:t>
            </w:r>
          </w:p>
          <w:p w:rsidR="0036201F" w:rsidRPr="0036201F" w:rsidRDefault="0036201F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bg-BG"/>
              </w:rPr>
              <w:t>Приложение 1 към ДФЕС</w:t>
            </w:r>
          </w:p>
          <w:p w:rsidR="00BB4582" w:rsidRPr="004B5930" w:rsidRDefault="000D4542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36201F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</w:t>
            </w: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6C91" w:rsidRPr="00686C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Декларация от кандидата</w:t>
            </w:r>
            <w:r w:rsidR="004B5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и членовете на ОГ</w:t>
            </w:r>
          </w:p>
          <w:p w:rsidR="004C002D" w:rsidRPr="004C002D" w:rsidRDefault="00BB4582" w:rsidP="004C002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Приложение № </w:t>
            </w:r>
            <w:r w:rsidR="0036201F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4</w:t>
            </w:r>
            <w:r w:rsidR="00284A55" w:rsidRPr="004C00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86C91" w:rsidRPr="00686C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План за новаторски проект</w:t>
            </w:r>
          </w:p>
          <w:p w:rsidR="00FB62DA" w:rsidRDefault="004C002D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36201F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5</w:t>
            </w: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686C91" w:rsidRPr="00686C9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Финансов план</w:t>
            </w:r>
          </w:p>
          <w:p w:rsidR="004C002D" w:rsidRPr="00FB3890" w:rsidRDefault="004C002D" w:rsidP="007A60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F718F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6</w:t>
            </w: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866F1B" w:rsidRPr="00866F1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Стандартна таблица н</w:t>
            </w:r>
            <w:r w:rsidR="00866F1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а разходите за единица продукти</w:t>
            </w:r>
          </w:p>
          <w:p w:rsidR="004B5930" w:rsidRPr="004B5930" w:rsidRDefault="004B5930" w:rsidP="00F718F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Приложение № </w:t>
            </w:r>
            <w:r w:rsidR="00F718FB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7</w:t>
            </w:r>
            <w:r w:rsidRPr="002A5231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Образец на запитване за оферта</w:t>
            </w:r>
          </w:p>
        </w:tc>
      </w:tr>
    </w:tbl>
    <w:p w:rsidR="00CE1ADE" w:rsidRPr="004F39ED" w:rsidRDefault="00CE1ADE" w:rsidP="00CE1ADE"/>
    <w:sectPr w:rsidR="00CE1ADE" w:rsidRPr="004F3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EFF072" w16cid:durableId="18EFF072"/>
  <w16cid:commentId w16cid:paraId="69B21D78" w16cid:durableId="69B21D78"/>
  <w16cid:commentId w16cid:paraId="6450E2D3" w16cid:durableId="6450E2D3"/>
  <w16cid:commentId w16cid:paraId="282D6E63" w16cid:durableId="282D6E63"/>
  <w16cid:commentId w16cid:paraId="19D06ED5" w16cid:durableId="19D06ED5"/>
  <w16cid:commentId w16cid:paraId="6A8FE412" w16cid:durableId="6A8FE412"/>
  <w16cid:commentId w16cid:paraId="5347EAA9" w16cid:durableId="5347EAA9"/>
  <w16cid:commentId w16cid:paraId="37B3A53A" w16cid:durableId="37B3A53A"/>
  <w16cid:commentId w16cid:paraId="5E4C680C" w16cid:durableId="5E4C680C"/>
  <w16cid:commentId w16cid:paraId="77D08FB7" w16cid:durableId="77D08FB7"/>
  <w16cid:commentId w16cid:paraId="242DD899" w16cid:durableId="242DD899"/>
  <w16cid:commentId w16cid:paraId="78B9000A" w16cid:durableId="78B9000A"/>
  <w16cid:commentId w16cid:paraId="661375E0" w16cid:durableId="661375E0"/>
  <w16cid:commentId w16cid:paraId="5772CD01" w16cid:durableId="5772CD01"/>
  <w16cid:commentId w16cid:paraId="532AAC3F" w16cid:durableId="532AAC3F"/>
  <w16cid:commentId w16cid:paraId="592408F4" w16cid:durableId="592408F4"/>
  <w16cid:commentId w16cid:paraId="17B895C4" w16cid:durableId="17B895C4"/>
  <w16cid:commentId w16cid:paraId="1B429138" w16cid:durableId="1B42913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E83" w:rsidRDefault="00E93E83" w:rsidP="005B1132">
      <w:r>
        <w:separator/>
      </w:r>
    </w:p>
  </w:endnote>
  <w:endnote w:type="continuationSeparator" w:id="0">
    <w:p w:rsidR="00E93E83" w:rsidRDefault="00E93E83" w:rsidP="005B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94542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49E8" w:rsidRDefault="00AF4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63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F49E8" w:rsidRDefault="00AF4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E83" w:rsidRDefault="00E93E83" w:rsidP="005B1132">
      <w:r>
        <w:separator/>
      </w:r>
    </w:p>
  </w:footnote>
  <w:footnote w:type="continuationSeparator" w:id="0">
    <w:p w:rsidR="00E93E83" w:rsidRDefault="00E93E83" w:rsidP="005B1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9E8" w:rsidRDefault="00AF49E8" w:rsidP="008C471E">
    <w:pPr>
      <w:pStyle w:val="Header"/>
      <w:tabs>
        <w:tab w:val="clear" w:pos="4536"/>
        <w:tab w:val="clear" w:pos="9072"/>
        <w:tab w:val="left" w:pos="6674"/>
      </w:tabs>
    </w:pPr>
    <w:r>
      <w:rPr>
        <w:noProof/>
        <w:lang w:val="en-GB" w:eastAsia="en-GB"/>
      </w:rPr>
      <w:drawing>
        <wp:inline distT="0" distB="0" distL="0" distR="0" wp14:anchorId="44EC8CE5" wp14:editId="41E61438">
          <wp:extent cx="1994173" cy="397824"/>
          <wp:effectExtent l="0" t="0" r="6350" b="0"/>
          <wp:docPr id="2" name="Picture 2" descr="https://sp2023.bg/images/logo_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p2023.bg/images/logo_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04" cy="40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BF3723">
      <w:rPr>
        <w:rFonts w:ascii="Times New Roman" w:hAnsi="Times New Roman" w:cs="Times New Roman"/>
        <w:b/>
        <w:noProof/>
        <w:sz w:val="24"/>
        <w:szCs w:val="24"/>
        <w:lang w:val="en-GB" w:eastAsia="en-GB"/>
      </w:rPr>
      <w:drawing>
        <wp:inline distT="0" distB="0" distL="0" distR="0" wp14:anchorId="32A278D1" wp14:editId="1E01C6EA">
          <wp:extent cx="1407226" cy="32919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756" cy="351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81E"/>
    <w:multiLevelType w:val="hybridMultilevel"/>
    <w:tmpl w:val="678CD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55A"/>
    <w:multiLevelType w:val="hybridMultilevel"/>
    <w:tmpl w:val="6B90DC1C"/>
    <w:lvl w:ilvl="0" w:tplc="CBDC4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44DB6"/>
    <w:multiLevelType w:val="hybridMultilevel"/>
    <w:tmpl w:val="2BCCA22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556F0"/>
    <w:multiLevelType w:val="hybridMultilevel"/>
    <w:tmpl w:val="D716E8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25323"/>
    <w:multiLevelType w:val="hybridMultilevel"/>
    <w:tmpl w:val="7D2C6378"/>
    <w:lvl w:ilvl="0" w:tplc="787EEFC8">
      <w:start w:val="1"/>
      <w:numFmt w:val="decimal"/>
      <w:lvlText w:val="%1."/>
      <w:lvlJc w:val="left"/>
      <w:pPr>
        <w:ind w:left="430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0CC2"/>
    <w:multiLevelType w:val="hybridMultilevel"/>
    <w:tmpl w:val="4104C128"/>
    <w:lvl w:ilvl="0" w:tplc="F266E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87868"/>
    <w:multiLevelType w:val="hybridMultilevel"/>
    <w:tmpl w:val="0F0A50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44D14"/>
    <w:multiLevelType w:val="hybridMultilevel"/>
    <w:tmpl w:val="B7DABC68"/>
    <w:lvl w:ilvl="0" w:tplc="2DC42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A6C8F"/>
    <w:multiLevelType w:val="hybridMultilevel"/>
    <w:tmpl w:val="693A500E"/>
    <w:lvl w:ilvl="0" w:tplc="D2D4C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F2422"/>
    <w:multiLevelType w:val="hybridMultilevel"/>
    <w:tmpl w:val="AE1AB97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EF753C"/>
    <w:multiLevelType w:val="hybridMultilevel"/>
    <w:tmpl w:val="D716E8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52A6C"/>
    <w:multiLevelType w:val="hybridMultilevel"/>
    <w:tmpl w:val="A42CC116"/>
    <w:lvl w:ilvl="0" w:tplc="3AF8BF18">
      <w:start w:val="2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F45D8"/>
    <w:multiLevelType w:val="hybridMultilevel"/>
    <w:tmpl w:val="09508E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E1A84"/>
    <w:multiLevelType w:val="hybridMultilevel"/>
    <w:tmpl w:val="D6925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44A3E"/>
    <w:multiLevelType w:val="hybridMultilevel"/>
    <w:tmpl w:val="D7F0A992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968CA"/>
    <w:multiLevelType w:val="hybridMultilevel"/>
    <w:tmpl w:val="6F209E14"/>
    <w:lvl w:ilvl="0" w:tplc="71A8DA7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01066"/>
    <w:multiLevelType w:val="hybridMultilevel"/>
    <w:tmpl w:val="9538F3DE"/>
    <w:lvl w:ilvl="0" w:tplc="D5662DAA">
      <w:start w:val="2"/>
      <w:numFmt w:val="decimal"/>
      <w:lvlText w:val="%1.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90429"/>
    <w:multiLevelType w:val="hybridMultilevel"/>
    <w:tmpl w:val="801C50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75A09"/>
    <w:multiLevelType w:val="hybridMultilevel"/>
    <w:tmpl w:val="AA02A5AC"/>
    <w:lvl w:ilvl="0" w:tplc="F266E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2363F"/>
    <w:multiLevelType w:val="hybridMultilevel"/>
    <w:tmpl w:val="E73EF210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C5B37"/>
    <w:multiLevelType w:val="multilevel"/>
    <w:tmpl w:val="B12C88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3BE3EAB"/>
    <w:multiLevelType w:val="hybridMultilevel"/>
    <w:tmpl w:val="1F009FFE"/>
    <w:lvl w:ilvl="0" w:tplc="4FF4BE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0E3410"/>
    <w:multiLevelType w:val="multilevel"/>
    <w:tmpl w:val="1DE0A4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1E2FCE"/>
    <w:multiLevelType w:val="hybridMultilevel"/>
    <w:tmpl w:val="7430D47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36C39"/>
    <w:multiLevelType w:val="hybridMultilevel"/>
    <w:tmpl w:val="0E52A05A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E6EEE"/>
    <w:multiLevelType w:val="hybridMultilevel"/>
    <w:tmpl w:val="7D2C6378"/>
    <w:lvl w:ilvl="0" w:tplc="FFFFFFFF">
      <w:start w:val="1"/>
      <w:numFmt w:val="decimal"/>
      <w:lvlText w:val="%1."/>
      <w:lvlJc w:val="left"/>
      <w:pPr>
        <w:ind w:left="43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32373"/>
    <w:multiLevelType w:val="hybridMultilevel"/>
    <w:tmpl w:val="02C8E9EE"/>
    <w:lvl w:ilvl="0" w:tplc="18C6BF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408A6"/>
    <w:multiLevelType w:val="hybridMultilevel"/>
    <w:tmpl w:val="DF72C2E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A0B3C"/>
    <w:multiLevelType w:val="hybridMultilevel"/>
    <w:tmpl w:val="4DE81F42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B166F"/>
    <w:multiLevelType w:val="hybridMultilevel"/>
    <w:tmpl w:val="8CFC44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D27FC"/>
    <w:multiLevelType w:val="hybridMultilevel"/>
    <w:tmpl w:val="76E0EC00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8736B"/>
    <w:multiLevelType w:val="hybridMultilevel"/>
    <w:tmpl w:val="1FD0C2F0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050C81"/>
    <w:multiLevelType w:val="hybridMultilevel"/>
    <w:tmpl w:val="C128C60A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4125E"/>
    <w:multiLevelType w:val="hybridMultilevel"/>
    <w:tmpl w:val="AB52F3E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4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70" w:hanging="360"/>
      </w:pPr>
    </w:lvl>
    <w:lvl w:ilvl="2" w:tplc="0402001B" w:tentative="1">
      <w:start w:val="1"/>
      <w:numFmt w:val="lowerRoman"/>
      <w:lvlText w:val="%3."/>
      <w:lvlJc w:val="right"/>
      <w:pPr>
        <w:ind w:left="1890" w:hanging="180"/>
      </w:pPr>
    </w:lvl>
    <w:lvl w:ilvl="3" w:tplc="0402000F" w:tentative="1">
      <w:start w:val="1"/>
      <w:numFmt w:val="decimal"/>
      <w:lvlText w:val="%4."/>
      <w:lvlJc w:val="left"/>
      <w:pPr>
        <w:ind w:left="2610" w:hanging="360"/>
      </w:pPr>
    </w:lvl>
    <w:lvl w:ilvl="4" w:tplc="04020019" w:tentative="1">
      <w:start w:val="1"/>
      <w:numFmt w:val="lowerLetter"/>
      <w:lvlText w:val="%5."/>
      <w:lvlJc w:val="left"/>
      <w:pPr>
        <w:ind w:left="3330" w:hanging="360"/>
      </w:pPr>
    </w:lvl>
    <w:lvl w:ilvl="5" w:tplc="0402001B" w:tentative="1">
      <w:start w:val="1"/>
      <w:numFmt w:val="lowerRoman"/>
      <w:lvlText w:val="%6."/>
      <w:lvlJc w:val="right"/>
      <w:pPr>
        <w:ind w:left="4050" w:hanging="180"/>
      </w:pPr>
    </w:lvl>
    <w:lvl w:ilvl="6" w:tplc="0402000F" w:tentative="1">
      <w:start w:val="1"/>
      <w:numFmt w:val="decimal"/>
      <w:lvlText w:val="%7."/>
      <w:lvlJc w:val="left"/>
      <w:pPr>
        <w:ind w:left="4770" w:hanging="360"/>
      </w:pPr>
    </w:lvl>
    <w:lvl w:ilvl="7" w:tplc="04020019" w:tentative="1">
      <w:start w:val="1"/>
      <w:numFmt w:val="lowerLetter"/>
      <w:lvlText w:val="%8."/>
      <w:lvlJc w:val="left"/>
      <w:pPr>
        <w:ind w:left="5490" w:hanging="360"/>
      </w:pPr>
    </w:lvl>
    <w:lvl w:ilvl="8" w:tplc="040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6C885BF6"/>
    <w:multiLevelType w:val="hybridMultilevel"/>
    <w:tmpl w:val="7018B6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4923E5"/>
    <w:multiLevelType w:val="hybridMultilevel"/>
    <w:tmpl w:val="B0727C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F7630"/>
    <w:multiLevelType w:val="hybridMultilevel"/>
    <w:tmpl w:val="B386B66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031F8"/>
    <w:multiLevelType w:val="hybridMultilevel"/>
    <w:tmpl w:val="51E2D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ED332C"/>
    <w:multiLevelType w:val="hybridMultilevel"/>
    <w:tmpl w:val="AAE2465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C2BF1"/>
    <w:multiLevelType w:val="hybridMultilevel"/>
    <w:tmpl w:val="6BCAC4B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283E8A"/>
    <w:multiLevelType w:val="hybridMultilevel"/>
    <w:tmpl w:val="B5B6B6DA"/>
    <w:lvl w:ilvl="0" w:tplc="0402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020013">
      <w:start w:val="1"/>
      <w:numFmt w:val="upperRoman"/>
      <w:lvlText w:val="%2."/>
      <w:lvlJc w:val="right"/>
      <w:pPr>
        <w:ind w:left="2869" w:hanging="360"/>
      </w:pPr>
      <w:rPr>
        <w:rFonts w:hint="default"/>
      </w:rPr>
    </w:lvl>
    <w:lvl w:ilvl="2" w:tplc="87CADB16">
      <w:numFmt w:val="bullet"/>
      <w:lvlText w:val="•"/>
      <w:lvlJc w:val="left"/>
      <w:pPr>
        <w:ind w:left="3589" w:hanging="360"/>
      </w:pPr>
      <w:rPr>
        <w:rFonts w:ascii="Times New Roman" w:eastAsia="Calibri" w:hAnsi="Times New Roman" w:cs="Times New Roman" w:hint="default"/>
      </w:rPr>
    </w:lvl>
    <w:lvl w:ilvl="3" w:tplc="787EEFC8">
      <w:start w:val="1"/>
      <w:numFmt w:val="decimal"/>
      <w:lvlText w:val="%4."/>
      <w:lvlJc w:val="left"/>
      <w:pPr>
        <w:ind w:left="4309" w:hanging="360"/>
      </w:pPr>
      <w:rPr>
        <w:rFonts w:hint="default"/>
      </w:rPr>
    </w:lvl>
    <w:lvl w:ilvl="4" w:tplc="0402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767CDE56">
      <w:start w:val="1"/>
      <w:numFmt w:val="bullet"/>
      <w:lvlText w:val="-"/>
      <w:lvlJc w:val="left"/>
      <w:pPr>
        <w:ind w:left="5749" w:hanging="360"/>
      </w:pPr>
      <w:rPr>
        <w:rFonts w:ascii="Times New Roman" w:eastAsia="Calibri" w:hAnsi="Times New Roman" w:cs="Times New Roman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4" w15:restartNumberingAfterBreak="0">
    <w:nsid w:val="76264F00"/>
    <w:multiLevelType w:val="hybridMultilevel"/>
    <w:tmpl w:val="EE024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6380D"/>
    <w:multiLevelType w:val="hybridMultilevel"/>
    <w:tmpl w:val="1E9005DE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7B7A2E"/>
    <w:multiLevelType w:val="hybridMultilevel"/>
    <w:tmpl w:val="33C6B00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34F74"/>
    <w:multiLevelType w:val="hybridMultilevel"/>
    <w:tmpl w:val="9F5E6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66636B"/>
    <w:multiLevelType w:val="hybridMultilevel"/>
    <w:tmpl w:val="EFBECCE8"/>
    <w:lvl w:ilvl="0" w:tplc="5A668F8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44502"/>
    <w:multiLevelType w:val="hybridMultilevel"/>
    <w:tmpl w:val="4BAC8C48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18"/>
  </w:num>
  <w:num w:numId="4">
    <w:abstractNumId w:val="32"/>
  </w:num>
  <w:num w:numId="5">
    <w:abstractNumId w:val="3"/>
  </w:num>
  <w:num w:numId="6">
    <w:abstractNumId w:val="45"/>
  </w:num>
  <w:num w:numId="7">
    <w:abstractNumId w:val="15"/>
  </w:num>
  <w:num w:numId="8">
    <w:abstractNumId w:val="41"/>
  </w:num>
  <w:num w:numId="9">
    <w:abstractNumId w:val="46"/>
  </w:num>
  <w:num w:numId="10">
    <w:abstractNumId w:val="21"/>
  </w:num>
  <w:num w:numId="11">
    <w:abstractNumId w:val="33"/>
  </w:num>
  <w:num w:numId="12">
    <w:abstractNumId w:val="35"/>
  </w:num>
  <w:num w:numId="13">
    <w:abstractNumId w:val="31"/>
  </w:num>
  <w:num w:numId="14">
    <w:abstractNumId w:val="48"/>
  </w:num>
  <w:num w:numId="15">
    <w:abstractNumId w:val="2"/>
  </w:num>
  <w:num w:numId="16">
    <w:abstractNumId w:val="30"/>
  </w:num>
  <w:num w:numId="17">
    <w:abstractNumId w:val="4"/>
  </w:num>
  <w:num w:numId="18">
    <w:abstractNumId w:val="16"/>
  </w:num>
  <w:num w:numId="19">
    <w:abstractNumId w:val="42"/>
  </w:num>
  <w:num w:numId="20">
    <w:abstractNumId w:val="36"/>
  </w:num>
  <w:num w:numId="21">
    <w:abstractNumId w:val="49"/>
  </w:num>
  <w:num w:numId="22">
    <w:abstractNumId w:val="11"/>
  </w:num>
  <w:num w:numId="23">
    <w:abstractNumId w:val="6"/>
  </w:num>
  <w:num w:numId="24">
    <w:abstractNumId w:val="23"/>
  </w:num>
  <w:num w:numId="25">
    <w:abstractNumId w:val="19"/>
  </w:num>
  <w:num w:numId="26">
    <w:abstractNumId w:val="13"/>
  </w:num>
  <w:num w:numId="27">
    <w:abstractNumId w:val="0"/>
  </w:num>
  <w:num w:numId="28">
    <w:abstractNumId w:val="7"/>
  </w:num>
  <w:num w:numId="29">
    <w:abstractNumId w:val="24"/>
  </w:num>
  <w:num w:numId="30">
    <w:abstractNumId w:val="26"/>
  </w:num>
  <w:num w:numId="31">
    <w:abstractNumId w:val="29"/>
  </w:num>
  <w:num w:numId="32">
    <w:abstractNumId w:val="22"/>
  </w:num>
  <w:num w:numId="33">
    <w:abstractNumId w:val="10"/>
  </w:num>
  <w:num w:numId="34">
    <w:abstractNumId w:val="39"/>
  </w:num>
  <w:num w:numId="35">
    <w:abstractNumId w:val="43"/>
  </w:num>
  <w:num w:numId="36">
    <w:abstractNumId w:val="17"/>
  </w:num>
  <w:num w:numId="37">
    <w:abstractNumId w:val="5"/>
  </w:num>
  <w:num w:numId="38">
    <w:abstractNumId w:val="27"/>
  </w:num>
  <w:num w:numId="39">
    <w:abstractNumId w:val="28"/>
  </w:num>
  <w:num w:numId="40">
    <w:abstractNumId w:val="37"/>
  </w:num>
  <w:num w:numId="41">
    <w:abstractNumId w:val="8"/>
  </w:num>
  <w:num w:numId="42">
    <w:abstractNumId w:val="40"/>
  </w:num>
  <w:num w:numId="43">
    <w:abstractNumId w:val="44"/>
  </w:num>
  <w:num w:numId="44">
    <w:abstractNumId w:val="47"/>
  </w:num>
  <w:num w:numId="45">
    <w:abstractNumId w:val="1"/>
  </w:num>
  <w:num w:numId="46">
    <w:abstractNumId w:val="34"/>
  </w:num>
  <w:num w:numId="47">
    <w:abstractNumId w:val="14"/>
  </w:num>
  <w:num w:numId="48">
    <w:abstractNumId w:val="9"/>
  </w:num>
  <w:num w:numId="49">
    <w:abstractNumId w:val="20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DE"/>
    <w:rsid w:val="000004D3"/>
    <w:rsid w:val="000008A5"/>
    <w:rsid w:val="00000990"/>
    <w:rsid w:val="000014F8"/>
    <w:rsid w:val="0000474B"/>
    <w:rsid w:val="00005772"/>
    <w:rsid w:val="00006166"/>
    <w:rsid w:val="0000732B"/>
    <w:rsid w:val="000076A8"/>
    <w:rsid w:val="00013881"/>
    <w:rsid w:val="00015019"/>
    <w:rsid w:val="000155BB"/>
    <w:rsid w:val="00015935"/>
    <w:rsid w:val="00016ECA"/>
    <w:rsid w:val="000215DD"/>
    <w:rsid w:val="00022224"/>
    <w:rsid w:val="00023213"/>
    <w:rsid w:val="00024A67"/>
    <w:rsid w:val="00024D8A"/>
    <w:rsid w:val="000359EE"/>
    <w:rsid w:val="00036927"/>
    <w:rsid w:val="000402AD"/>
    <w:rsid w:val="00040C77"/>
    <w:rsid w:val="00041984"/>
    <w:rsid w:val="00042153"/>
    <w:rsid w:val="000431AE"/>
    <w:rsid w:val="00047FDD"/>
    <w:rsid w:val="0005068E"/>
    <w:rsid w:val="00050DBF"/>
    <w:rsid w:val="0005321F"/>
    <w:rsid w:val="000542C6"/>
    <w:rsid w:val="00054A89"/>
    <w:rsid w:val="000575CD"/>
    <w:rsid w:val="000623FE"/>
    <w:rsid w:val="00063348"/>
    <w:rsid w:val="0006513C"/>
    <w:rsid w:val="00066340"/>
    <w:rsid w:val="0007333F"/>
    <w:rsid w:val="00074D38"/>
    <w:rsid w:val="00075393"/>
    <w:rsid w:val="000814E9"/>
    <w:rsid w:val="00081F7F"/>
    <w:rsid w:val="0008483F"/>
    <w:rsid w:val="00084DDF"/>
    <w:rsid w:val="00090134"/>
    <w:rsid w:val="00090822"/>
    <w:rsid w:val="00090874"/>
    <w:rsid w:val="000918EA"/>
    <w:rsid w:val="00092AB4"/>
    <w:rsid w:val="00092F03"/>
    <w:rsid w:val="0009333B"/>
    <w:rsid w:val="000935F0"/>
    <w:rsid w:val="000940EC"/>
    <w:rsid w:val="00094E51"/>
    <w:rsid w:val="000A1135"/>
    <w:rsid w:val="000A1DD6"/>
    <w:rsid w:val="000A20EB"/>
    <w:rsid w:val="000A2919"/>
    <w:rsid w:val="000A335B"/>
    <w:rsid w:val="000A3A96"/>
    <w:rsid w:val="000A3BDE"/>
    <w:rsid w:val="000A4BFB"/>
    <w:rsid w:val="000A4CB9"/>
    <w:rsid w:val="000B3612"/>
    <w:rsid w:val="000B4300"/>
    <w:rsid w:val="000B484A"/>
    <w:rsid w:val="000B60F9"/>
    <w:rsid w:val="000C00D8"/>
    <w:rsid w:val="000C1364"/>
    <w:rsid w:val="000C19E3"/>
    <w:rsid w:val="000C26CE"/>
    <w:rsid w:val="000C2D8B"/>
    <w:rsid w:val="000C5708"/>
    <w:rsid w:val="000D0A34"/>
    <w:rsid w:val="000D1F2E"/>
    <w:rsid w:val="000D236A"/>
    <w:rsid w:val="000D4542"/>
    <w:rsid w:val="000D48B6"/>
    <w:rsid w:val="000D6062"/>
    <w:rsid w:val="000D6C42"/>
    <w:rsid w:val="000D7762"/>
    <w:rsid w:val="000D7BC7"/>
    <w:rsid w:val="000E0912"/>
    <w:rsid w:val="000E1A03"/>
    <w:rsid w:val="000E5651"/>
    <w:rsid w:val="000F035E"/>
    <w:rsid w:val="000F0F81"/>
    <w:rsid w:val="000F40C7"/>
    <w:rsid w:val="001003EE"/>
    <w:rsid w:val="00100B1D"/>
    <w:rsid w:val="00102636"/>
    <w:rsid w:val="00102904"/>
    <w:rsid w:val="00105DDD"/>
    <w:rsid w:val="00106B16"/>
    <w:rsid w:val="00106B9B"/>
    <w:rsid w:val="00110271"/>
    <w:rsid w:val="0011102C"/>
    <w:rsid w:val="001111E8"/>
    <w:rsid w:val="001131FC"/>
    <w:rsid w:val="00114167"/>
    <w:rsid w:val="001145BD"/>
    <w:rsid w:val="00114C65"/>
    <w:rsid w:val="001176E4"/>
    <w:rsid w:val="00120048"/>
    <w:rsid w:val="00120AEF"/>
    <w:rsid w:val="00121985"/>
    <w:rsid w:val="0012269E"/>
    <w:rsid w:val="00124D03"/>
    <w:rsid w:val="001256AB"/>
    <w:rsid w:val="001263DD"/>
    <w:rsid w:val="00130266"/>
    <w:rsid w:val="001306F5"/>
    <w:rsid w:val="00130B24"/>
    <w:rsid w:val="0013241D"/>
    <w:rsid w:val="001327CA"/>
    <w:rsid w:val="00132A9C"/>
    <w:rsid w:val="00132F45"/>
    <w:rsid w:val="00134F53"/>
    <w:rsid w:val="0013511C"/>
    <w:rsid w:val="001358BA"/>
    <w:rsid w:val="001359C4"/>
    <w:rsid w:val="00135A2A"/>
    <w:rsid w:val="001372BE"/>
    <w:rsid w:val="00137A7F"/>
    <w:rsid w:val="00137BF6"/>
    <w:rsid w:val="001410A2"/>
    <w:rsid w:val="00143162"/>
    <w:rsid w:val="00143225"/>
    <w:rsid w:val="00145792"/>
    <w:rsid w:val="001462CA"/>
    <w:rsid w:val="001523BA"/>
    <w:rsid w:val="00155308"/>
    <w:rsid w:val="001577F7"/>
    <w:rsid w:val="0016040C"/>
    <w:rsid w:val="00161F23"/>
    <w:rsid w:val="00162BFF"/>
    <w:rsid w:val="001645BA"/>
    <w:rsid w:val="001654FC"/>
    <w:rsid w:val="00166A0E"/>
    <w:rsid w:val="00166F07"/>
    <w:rsid w:val="0017055B"/>
    <w:rsid w:val="00170C80"/>
    <w:rsid w:val="00171E58"/>
    <w:rsid w:val="00173BB8"/>
    <w:rsid w:val="00177699"/>
    <w:rsid w:val="00181A77"/>
    <w:rsid w:val="00181DC2"/>
    <w:rsid w:val="0018229F"/>
    <w:rsid w:val="0018416F"/>
    <w:rsid w:val="00185034"/>
    <w:rsid w:val="0018641F"/>
    <w:rsid w:val="001864E7"/>
    <w:rsid w:val="00186569"/>
    <w:rsid w:val="001867C1"/>
    <w:rsid w:val="00186D64"/>
    <w:rsid w:val="0019475A"/>
    <w:rsid w:val="00194E68"/>
    <w:rsid w:val="00195204"/>
    <w:rsid w:val="00195F6F"/>
    <w:rsid w:val="00195F8D"/>
    <w:rsid w:val="001A0A3C"/>
    <w:rsid w:val="001A34C1"/>
    <w:rsid w:val="001A40F5"/>
    <w:rsid w:val="001A70C9"/>
    <w:rsid w:val="001B1A2D"/>
    <w:rsid w:val="001B259C"/>
    <w:rsid w:val="001B3F47"/>
    <w:rsid w:val="001B5151"/>
    <w:rsid w:val="001C1EDF"/>
    <w:rsid w:val="001C43DF"/>
    <w:rsid w:val="001C4727"/>
    <w:rsid w:val="001C72D8"/>
    <w:rsid w:val="001D0034"/>
    <w:rsid w:val="001D0983"/>
    <w:rsid w:val="001D5ED1"/>
    <w:rsid w:val="001E00E6"/>
    <w:rsid w:val="001E0182"/>
    <w:rsid w:val="001E0ACB"/>
    <w:rsid w:val="001E0D14"/>
    <w:rsid w:val="001E144E"/>
    <w:rsid w:val="001E2666"/>
    <w:rsid w:val="001E34F8"/>
    <w:rsid w:val="001E3FD9"/>
    <w:rsid w:val="001E7DCD"/>
    <w:rsid w:val="001F0935"/>
    <w:rsid w:val="001F48CB"/>
    <w:rsid w:val="001F5D6E"/>
    <w:rsid w:val="001F6FFC"/>
    <w:rsid w:val="001F7469"/>
    <w:rsid w:val="00200533"/>
    <w:rsid w:val="00200635"/>
    <w:rsid w:val="00200817"/>
    <w:rsid w:val="00202D68"/>
    <w:rsid w:val="002051F6"/>
    <w:rsid w:val="002053DF"/>
    <w:rsid w:val="00206096"/>
    <w:rsid w:val="002062C3"/>
    <w:rsid w:val="00207496"/>
    <w:rsid w:val="00207736"/>
    <w:rsid w:val="002138CA"/>
    <w:rsid w:val="00213D3A"/>
    <w:rsid w:val="0021527C"/>
    <w:rsid w:val="00217DED"/>
    <w:rsid w:val="00224C27"/>
    <w:rsid w:val="002250E7"/>
    <w:rsid w:val="00225144"/>
    <w:rsid w:val="0022746C"/>
    <w:rsid w:val="00227EE5"/>
    <w:rsid w:val="00231EE8"/>
    <w:rsid w:val="00232FD2"/>
    <w:rsid w:val="00234D97"/>
    <w:rsid w:val="00235A6E"/>
    <w:rsid w:val="0024014D"/>
    <w:rsid w:val="00240556"/>
    <w:rsid w:val="00240DE1"/>
    <w:rsid w:val="00241F36"/>
    <w:rsid w:val="00243942"/>
    <w:rsid w:val="00245E34"/>
    <w:rsid w:val="00245FD4"/>
    <w:rsid w:val="002504BD"/>
    <w:rsid w:val="00250544"/>
    <w:rsid w:val="00250D30"/>
    <w:rsid w:val="00252D0E"/>
    <w:rsid w:val="0025317B"/>
    <w:rsid w:val="00253B7C"/>
    <w:rsid w:val="002623C1"/>
    <w:rsid w:val="002623D4"/>
    <w:rsid w:val="00263878"/>
    <w:rsid w:val="002638FC"/>
    <w:rsid w:val="00267F22"/>
    <w:rsid w:val="00270376"/>
    <w:rsid w:val="002709B2"/>
    <w:rsid w:val="00272818"/>
    <w:rsid w:val="00272AA3"/>
    <w:rsid w:val="00273107"/>
    <w:rsid w:val="00273B54"/>
    <w:rsid w:val="002747B6"/>
    <w:rsid w:val="00274F88"/>
    <w:rsid w:val="00276004"/>
    <w:rsid w:val="00276ADB"/>
    <w:rsid w:val="002809A0"/>
    <w:rsid w:val="00281916"/>
    <w:rsid w:val="00282267"/>
    <w:rsid w:val="00284269"/>
    <w:rsid w:val="00284A55"/>
    <w:rsid w:val="002859A7"/>
    <w:rsid w:val="00286B8C"/>
    <w:rsid w:val="00292166"/>
    <w:rsid w:val="002932EA"/>
    <w:rsid w:val="002937D0"/>
    <w:rsid w:val="00293F6D"/>
    <w:rsid w:val="002A2197"/>
    <w:rsid w:val="002A2986"/>
    <w:rsid w:val="002A5231"/>
    <w:rsid w:val="002A53FF"/>
    <w:rsid w:val="002A5E65"/>
    <w:rsid w:val="002A6971"/>
    <w:rsid w:val="002A77B1"/>
    <w:rsid w:val="002B0316"/>
    <w:rsid w:val="002B107F"/>
    <w:rsid w:val="002B31BE"/>
    <w:rsid w:val="002B3418"/>
    <w:rsid w:val="002C0FB8"/>
    <w:rsid w:val="002C1E59"/>
    <w:rsid w:val="002C2571"/>
    <w:rsid w:val="002C3F38"/>
    <w:rsid w:val="002C445A"/>
    <w:rsid w:val="002C78A4"/>
    <w:rsid w:val="002C7969"/>
    <w:rsid w:val="002D0913"/>
    <w:rsid w:val="002D1778"/>
    <w:rsid w:val="002D2FBD"/>
    <w:rsid w:val="002D5CA9"/>
    <w:rsid w:val="002D6B89"/>
    <w:rsid w:val="002E4632"/>
    <w:rsid w:val="002E5A1A"/>
    <w:rsid w:val="002E6A41"/>
    <w:rsid w:val="002E759A"/>
    <w:rsid w:val="002F2D33"/>
    <w:rsid w:val="002F4301"/>
    <w:rsid w:val="002F6B03"/>
    <w:rsid w:val="002F7696"/>
    <w:rsid w:val="003041B9"/>
    <w:rsid w:val="0030570D"/>
    <w:rsid w:val="003130A1"/>
    <w:rsid w:val="0031329E"/>
    <w:rsid w:val="00315488"/>
    <w:rsid w:val="003161B2"/>
    <w:rsid w:val="00317D9B"/>
    <w:rsid w:val="00322930"/>
    <w:rsid w:val="00324202"/>
    <w:rsid w:val="00324526"/>
    <w:rsid w:val="00325E5E"/>
    <w:rsid w:val="003271AF"/>
    <w:rsid w:val="003319FA"/>
    <w:rsid w:val="00332945"/>
    <w:rsid w:val="00334E82"/>
    <w:rsid w:val="00336EA1"/>
    <w:rsid w:val="00336FC3"/>
    <w:rsid w:val="00343CBE"/>
    <w:rsid w:val="00343F19"/>
    <w:rsid w:val="00344FD7"/>
    <w:rsid w:val="00345192"/>
    <w:rsid w:val="00350444"/>
    <w:rsid w:val="00354CD0"/>
    <w:rsid w:val="0036201F"/>
    <w:rsid w:val="00362E29"/>
    <w:rsid w:val="003742F0"/>
    <w:rsid w:val="00374B5E"/>
    <w:rsid w:val="003757C4"/>
    <w:rsid w:val="003779C3"/>
    <w:rsid w:val="0038372B"/>
    <w:rsid w:val="00383EF3"/>
    <w:rsid w:val="00386C38"/>
    <w:rsid w:val="00387287"/>
    <w:rsid w:val="00394330"/>
    <w:rsid w:val="00396B12"/>
    <w:rsid w:val="003A2F27"/>
    <w:rsid w:val="003A456F"/>
    <w:rsid w:val="003B1599"/>
    <w:rsid w:val="003B4364"/>
    <w:rsid w:val="003B4DCA"/>
    <w:rsid w:val="003B5877"/>
    <w:rsid w:val="003B6137"/>
    <w:rsid w:val="003B7C73"/>
    <w:rsid w:val="003C22E1"/>
    <w:rsid w:val="003C44C6"/>
    <w:rsid w:val="003C564D"/>
    <w:rsid w:val="003C706E"/>
    <w:rsid w:val="003D09EC"/>
    <w:rsid w:val="003D0F36"/>
    <w:rsid w:val="003D0FA8"/>
    <w:rsid w:val="003D2133"/>
    <w:rsid w:val="003D379C"/>
    <w:rsid w:val="003D3DEF"/>
    <w:rsid w:val="003D4B29"/>
    <w:rsid w:val="003D6E9A"/>
    <w:rsid w:val="003D77FA"/>
    <w:rsid w:val="003E1FE9"/>
    <w:rsid w:val="003E3DE0"/>
    <w:rsid w:val="003E5221"/>
    <w:rsid w:val="003E522D"/>
    <w:rsid w:val="003E5C13"/>
    <w:rsid w:val="003E6E84"/>
    <w:rsid w:val="003E7129"/>
    <w:rsid w:val="003E78CD"/>
    <w:rsid w:val="003F0021"/>
    <w:rsid w:val="003F08D0"/>
    <w:rsid w:val="003F0D65"/>
    <w:rsid w:val="003F22EB"/>
    <w:rsid w:val="003F4342"/>
    <w:rsid w:val="003F4562"/>
    <w:rsid w:val="003F4D42"/>
    <w:rsid w:val="003F4F5E"/>
    <w:rsid w:val="003F57ED"/>
    <w:rsid w:val="00400E2D"/>
    <w:rsid w:val="004022C5"/>
    <w:rsid w:val="004067B1"/>
    <w:rsid w:val="00410E2A"/>
    <w:rsid w:val="00410F28"/>
    <w:rsid w:val="00412CD8"/>
    <w:rsid w:val="004134B9"/>
    <w:rsid w:val="00416155"/>
    <w:rsid w:val="00420CAA"/>
    <w:rsid w:val="004247AE"/>
    <w:rsid w:val="00425730"/>
    <w:rsid w:val="0043454D"/>
    <w:rsid w:val="004351F6"/>
    <w:rsid w:val="00435351"/>
    <w:rsid w:val="00436456"/>
    <w:rsid w:val="00436FE9"/>
    <w:rsid w:val="00443AE0"/>
    <w:rsid w:val="00444EF1"/>
    <w:rsid w:val="004451F1"/>
    <w:rsid w:val="00445F6E"/>
    <w:rsid w:val="00447F03"/>
    <w:rsid w:val="00451D46"/>
    <w:rsid w:val="00452499"/>
    <w:rsid w:val="00454745"/>
    <w:rsid w:val="00457A34"/>
    <w:rsid w:val="0046257F"/>
    <w:rsid w:val="00462E80"/>
    <w:rsid w:val="0046418F"/>
    <w:rsid w:val="00464D1B"/>
    <w:rsid w:val="00466882"/>
    <w:rsid w:val="0047343C"/>
    <w:rsid w:val="00473586"/>
    <w:rsid w:val="00475A47"/>
    <w:rsid w:val="00476F24"/>
    <w:rsid w:val="00481A82"/>
    <w:rsid w:val="00482024"/>
    <w:rsid w:val="00484C76"/>
    <w:rsid w:val="00485BC6"/>
    <w:rsid w:val="00485C06"/>
    <w:rsid w:val="004866E7"/>
    <w:rsid w:val="00496066"/>
    <w:rsid w:val="00496936"/>
    <w:rsid w:val="004A08BF"/>
    <w:rsid w:val="004A1CFA"/>
    <w:rsid w:val="004A4B8D"/>
    <w:rsid w:val="004A5C3B"/>
    <w:rsid w:val="004A7AEB"/>
    <w:rsid w:val="004A7ED9"/>
    <w:rsid w:val="004B0B9E"/>
    <w:rsid w:val="004B1594"/>
    <w:rsid w:val="004B1638"/>
    <w:rsid w:val="004B28F4"/>
    <w:rsid w:val="004B39EC"/>
    <w:rsid w:val="004B49AD"/>
    <w:rsid w:val="004B5852"/>
    <w:rsid w:val="004B5930"/>
    <w:rsid w:val="004B68D6"/>
    <w:rsid w:val="004B6FF0"/>
    <w:rsid w:val="004B76D2"/>
    <w:rsid w:val="004C002D"/>
    <w:rsid w:val="004C1598"/>
    <w:rsid w:val="004C1877"/>
    <w:rsid w:val="004C1C10"/>
    <w:rsid w:val="004C2116"/>
    <w:rsid w:val="004C4254"/>
    <w:rsid w:val="004C6FC9"/>
    <w:rsid w:val="004C7996"/>
    <w:rsid w:val="004D0E6B"/>
    <w:rsid w:val="004D3D66"/>
    <w:rsid w:val="004D462F"/>
    <w:rsid w:val="004D49B9"/>
    <w:rsid w:val="004D632A"/>
    <w:rsid w:val="004D75DF"/>
    <w:rsid w:val="004E2821"/>
    <w:rsid w:val="004E355D"/>
    <w:rsid w:val="004E606D"/>
    <w:rsid w:val="004E6F31"/>
    <w:rsid w:val="004E766F"/>
    <w:rsid w:val="004F10CA"/>
    <w:rsid w:val="004F15E3"/>
    <w:rsid w:val="004F22C0"/>
    <w:rsid w:val="004F39ED"/>
    <w:rsid w:val="004F48DE"/>
    <w:rsid w:val="004F537D"/>
    <w:rsid w:val="004F717F"/>
    <w:rsid w:val="004F72DE"/>
    <w:rsid w:val="00502EDF"/>
    <w:rsid w:val="00504D0F"/>
    <w:rsid w:val="005062CD"/>
    <w:rsid w:val="00506412"/>
    <w:rsid w:val="00507B71"/>
    <w:rsid w:val="0051006A"/>
    <w:rsid w:val="00512A58"/>
    <w:rsid w:val="00513094"/>
    <w:rsid w:val="00513351"/>
    <w:rsid w:val="005137DB"/>
    <w:rsid w:val="0051595E"/>
    <w:rsid w:val="0051694B"/>
    <w:rsid w:val="00516959"/>
    <w:rsid w:val="00517352"/>
    <w:rsid w:val="00517A23"/>
    <w:rsid w:val="00520252"/>
    <w:rsid w:val="0052077B"/>
    <w:rsid w:val="00522E5C"/>
    <w:rsid w:val="00523064"/>
    <w:rsid w:val="00524371"/>
    <w:rsid w:val="00526B57"/>
    <w:rsid w:val="00527E52"/>
    <w:rsid w:val="00530E41"/>
    <w:rsid w:val="005316EE"/>
    <w:rsid w:val="0053185C"/>
    <w:rsid w:val="00531DDE"/>
    <w:rsid w:val="005335C0"/>
    <w:rsid w:val="005341B3"/>
    <w:rsid w:val="00535401"/>
    <w:rsid w:val="00536B22"/>
    <w:rsid w:val="00537C69"/>
    <w:rsid w:val="00537E96"/>
    <w:rsid w:val="00540AA3"/>
    <w:rsid w:val="00541076"/>
    <w:rsid w:val="00543C49"/>
    <w:rsid w:val="00551366"/>
    <w:rsid w:val="00553AE8"/>
    <w:rsid w:val="00554860"/>
    <w:rsid w:val="0055519E"/>
    <w:rsid w:val="00556C60"/>
    <w:rsid w:val="00560904"/>
    <w:rsid w:val="00563F65"/>
    <w:rsid w:val="00566960"/>
    <w:rsid w:val="005677C7"/>
    <w:rsid w:val="00573058"/>
    <w:rsid w:val="00576E90"/>
    <w:rsid w:val="00577D09"/>
    <w:rsid w:val="005804DA"/>
    <w:rsid w:val="00580F90"/>
    <w:rsid w:val="00585D5B"/>
    <w:rsid w:val="00586508"/>
    <w:rsid w:val="00586D0F"/>
    <w:rsid w:val="00586F8C"/>
    <w:rsid w:val="00590DBB"/>
    <w:rsid w:val="0059277C"/>
    <w:rsid w:val="00594645"/>
    <w:rsid w:val="00594DC1"/>
    <w:rsid w:val="00595BAF"/>
    <w:rsid w:val="00596FC6"/>
    <w:rsid w:val="0059705C"/>
    <w:rsid w:val="005A01BE"/>
    <w:rsid w:val="005A1318"/>
    <w:rsid w:val="005A72AE"/>
    <w:rsid w:val="005B0C88"/>
    <w:rsid w:val="005B1132"/>
    <w:rsid w:val="005B2E3B"/>
    <w:rsid w:val="005B3C08"/>
    <w:rsid w:val="005B4AFC"/>
    <w:rsid w:val="005B67CC"/>
    <w:rsid w:val="005B696E"/>
    <w:rsid w:val="005B6B8A"/>
    <w:rsid w:val="005C3469"/>
    <w:rsid w:val="005C4071"/>
    <w:rsid w:val="005C426B"/>
    <w:rsid w:val="005C426E"/>
    <w:rsid w:val="005C72DE"/>
    <w:rsid w:val="005D0429"/>
    <w:rsid w:val="005D0E5A"/>
    <w:rsid w:val="005D2E76"/>
    <w:rsid w:val="005D39D1"/>
    <w:rsid w:val="005D5067"/>
    <w:rsid w:val="005D7D4D"/>
    <w:rsid w:val="005E01B3"/>
    <w:rsid w:val="005E1189"/>
    <w:rsid w:val="005E12EF"/>
    <w:rsid w:val="005E277E"/>
    <w:rsid w:val="005E2984"/>
    <w:rsid w:val="005E58EB"/>
    <w:rsid w:val="005E72DD"/>
    <w:rsid w:val="005E760A"/>
    <w:rsid w:val="005E7AE0"/>
    <w:rsid w:val="005F163B"/>
    <w:rsid w:val="005F26CA"/>
    <w:rsid w:val="005F4401"/>
    <w:rsid w:val="005F6B44"/>
    <w:rsid w:val="00600C74"/>
    <w:rsid w:val="00600E18"/>
    <w:rsid w:val="00601E35"/>
    <w:rsid w:val="00601FD5"/>
    <w:rsid w:val="00602635"/>
    <w:rsid w:val="00603E73"/>
    <w:rsid w:val="00604AE7"/>
    <w:rsid w:val="00605610"/>
    <w:rsid w:val="006061EE"/>
    <w:rsid w:val="0060636F"/>
    <w:rsid w:val="006113E1"/>
    <w:rsid w:val="0061363E"/>
    <w:rsid w:val="00615D07"/>
    <w:rsid w:val="00616B96"/>
    <w:rsid w:val="00617CCB"/>
    <w:rsid w:val="006202D1"/>
    <w:rsid w:val="006208BE"/>
    <w:rsid w:val="00620D50"/>
    <w:rsid w:val="00622989"/>
    <w:rsid w:val="0062459E"/>
    <w:rsid w:val="00627E59"/>
    <w:rsid w:val="006302E9"/>
    <w:rsid w:val="006318DB"/>
    <w:rsid w:val="0063297D"/>
    <w:rsid w:val="00633548"/>
    <w:rsid w:val="00635572"/>
    <w:rsid w:val="00635695"/>
    <w:rsid w:val="006401A2"/>
    <w:rsid w:val="0064041F"/>
    <w:rsid w:val="00640996"/>
    <w:rsid w:val="00641E60"/>
    <w:rsid w:val="00642D7D"/>
    <w:rsid w:val="006435AF"/>
    <w:rsid w:val="00643D3A"/>
    <w:rsid w:val="006445A8"/>
    <w:rsid w:val="00644966"/>
    <w:rsid w:val="00646103"/>
    <w:rsid w:val="00647828"/>
    <w:rsid w:val="0065021A"/>
    <w:rsid w:val="00650CCE"/>
    <w:rsid w:val="00654D70"/>
    <w:rsid w:val="00655C82"/>
    <w:rsid w:val="00660358"/>
    <w:rsid w:val="00660EE2"/>
    <w:rsid w:val="00664FB0"/>
    <w:rsid w:val="00671AC4"/>
    <w:rsid w:val="006741E7"/>
    <w:rsid w:val="00674AE0"/>
    <w:rsid w:val="00681BE5"/>
    <w:rsid w:val="00681BF6"/>
    <w:rsid w:val="0068327E"/>
    <w:rsid w:val="00683484"/>
    <w:rsid w:val="00685E90"/>
    <w:rsid w:val="006866B0"/>
    <w:rsid w:val="00686C91"/>
    <w:rsid w:val="00687E0D"/>
    <w:rsid w:val="006933E1"/>
    <w:rsid w:val="00693D3D"/>
    <w:rsid w:val="00694FA0"/>
    <w:rsid w:val="00697EAC"/>
    <w:rsid w:val="006A0ED4"/>
    <w:rsid w:val="006A1AFD"/>
    <w:rsid w:val="006A1F8D"/>
    <w:rsid w:val="006A3347"/>
    <w:rsid w:val="006A3F08"/>
    <w:rsid w:val="006A4565"/>
    <w:rsid w:val="006A47DF"/>
    <w:rsid w:val="006A54AE"/>
    <w:rsid w:val="006B0247"/>
    <w:rsid w:val="006B2338"/>
    <w:rsid w:val="006B3778"/>
    <w:rsid w:val="006B399C"/>
    <w:rsid w:val="006B40D8"/>
    <w:rsid w:val="006B6005"/>
    <w:rsid w:val="006C1062"/>
    <w:rsid w:val="006C1A3F"/>
    <w:rsid w:val="006C1D14"/>
    <w:rsid w:val="006C27E9"/>
    <w:rsid w:val="006C50B1"/>
    <w:rsid w:val="006C7EBF"/>
    <w:rsid w:val="006D504A"/>
    <w:rsid w:val="006D66AF"/>
    <w:rsid w:val="006D6964"/>
    <w:rsid w:val="006D78A1"/>
    <w:rsid w:val="006E1F7B"/>
    <w:rsid w:val="006E3CD6"/>
    <w:rsid w:val="006F14FE"/>
    <w:rsid w:val="006F5268"/>
    <w:rsid w:val="007003ED"/>
    <w:rsid w:val="00703369"/>
    <w:rsid w:val="00703881"/>
    <w:rsid w:val="00703992"/>
    <w:rsid w:val="00703F7F"/>
    <w:rsid w:val="00704252"/>
    <w:rsid w:val="00707EBF"/>
    <w:rsid w:val="00710237"/>
    <w:rsid w:val="00710EF8"/>
    <w:rsid w:val="0071251C"/>
    <w:rsid w:val="00714381"/>
    <w:rsid w:val="00716DA6"/>
    <w:rsid w:val="00722089"/>
    <w:rsid w:val="00722940"/>
    <w:rsid w:val="00724E5B"/>
    <w:rsid w:val="00724EAF"/>
    <w:rsid w:val="00725E10"/>
    <w:rsid w:val="00726684"/>
    <w:rsid w:val="007268D5"/>
    <w:rsid w:val="00726E10"/>
    <w:rsid w:val="00726E59"/>
    <w:rsid w:val="007315DC"/>
    <w:rsid w:val="007317E3"/>
    <w:rsid w:val="00731D2B"/>
    <w:rsid w:val="007351DA"/>
    <w:rsid w:val="007355D1"/>
    <w:rsid w:val="007358E9"/>
    <w:rsid w:val="00737172"/>
    <w:rsid w:val="007371EE"/>
    <w:rsid w:val="00741677"/>
    <w:rsid w:val="00742152"/>
    <w:rsid w:val="00742849"/>
    <w:rsid w:val="00742F61"/>
    <w:rsid w:val="0074385F"/>
    <w:rsid w:val="00743CA7"/>
    <w:rsid w:val="00745173"/>
    <w:rsid w:val="0074588D"/>
    <w:rsid w:val="00747819"/>
    <w:rsid w:val="00752542"/>
    <w:rsid w:val="007559A9"/>
    <w:rsid w:val="00755F22"/>
    <w:rsid w:val="0075619C"/>
    <w:rsid w:val="00761719"/>
    <w:rsid w:val="00763119"/>
    <w:rsid w:val="00763FB3"/>
    <w:rsid w:val="00764367"/>
    <w:rsid w:val="007644D5"/>
    <w:rsid w:val="00767A77"/>
    <w:rsid w:val="007705A1"/>
    <w:rsid w:val="00770FAD"/>
    <w:rsid w:val="00771598"/>
    <w:rsid w:val="0077306C"/>
    <w:rsid w:val="007737C5"/>
    <w:rsid w:val="007745EC"/>
    <w:rsid w:val="007753CB"/>
    <w:rsid w:val="00775A6D"/>
    <w:rsid w:val="00776C36"/>
    <w:rsid w:val="00776EE6"/>
    <w:rsid w:val="00776F08"/>
    <w:rsid w:val="00776F78"/>
    <w:rsid w:val="00777396"/>
    <w:rsid w:val="007779E4"/>
    <w:rsid w:val="00777E80"/>
    <w:rsid w:val="007848A4"/>
    <w:rsid w:val="00784F05"/>
    <w:rsid w:val="00785498"/>
    <w:rsid w:val="0079092E"/>
    <w:rsid w:val="00791247"/>
    <w:rsid w:val="007A0729"/>
    <w:rsid w:val="007A0ADC"/>
    <w:rsid w:val="007A29FD"/>
    <w:rsid w:val="007A3303"/>
    <w:rsid w:val="007A3CBA"/>
    <w:rsid w:val="007A48A8"/>
    <w:rsid w:val="007A4A6E"/>
    <w:rsid w:val="007A60E1"/>
    <w:rsid w:val="007B075E"/>
    <w:rsid w:val="007B2F0E"/>
    <w:rsid w:val="007B3892"/>
    <w:rsid w:val="007B583D"/>
    <w:rsid w:val="007B6493"/>
    <w:rsid w:val="007B74C2"/>
    <w:rsid w:val="007C21B8"/>
    <w:rsid w:val="007C2656"/>
    <w:rsid w:val="007C3EDE"/>
    <w:rsid w:val="007C77F2"/>
    <w:rsid w:val="007D14EB"/>
    <w:rsid w:val="007D25E7"/>
    <w:rsid w:val="007D34CE"/>
    <w:rsid w:val="007D386A"/>
    <w:rsid w:val="007D4255"/>
    <w:rsid w:val="007D4FB3"/>
    <w:rsid w:val="007D6771"/>
    <w:rsid w:val="007D7679"/>
    <w:rsid w:val="007E1272"/>
    <w:rsid w:val="007E1831"/>
    <w:rsid w:val="007E7915"/>
    <w:rsid w:val="007F033B"/>
    <w:rsid w:val="007F038B"/>
    <w:rsid w:val="007F1DBB"/>
    <w:rsid w:val="007F2572"/>
    <w:rsid w:val="007F354B"/>
    <w:rsid w:val="007F59C2"/>
    <w:rsid w:val="007F680D"/>
    <w:rsid w:val="00800723"/>
    <w:rsid w:val="00800DA9"/>
    <w:rsid w:val="00803F9D"/>
    <w:rsid w:val="00805258"/>
    <w:rsid w:val="008056DD"/>
    <w:rsid w:val="008057D4"/>
    <w:rsid w:val="00806C5B"/>
    <w:rsid w:val="00810B15"/>
    <w:rsid w:val="00811FE2"/>
    <w:rsid w:val="008140D9"/>
    <w:rsid w:val="008163D6"/>
    <w:rsid w:val="0081664C"/>
    <w:rsid w:val="00816A69"/>
    <w:rsid w:val="00817963"/>
    <w:rsid w:val="0082044E"/>
    <w:rsid w:val="00820D98"/>
    <w:rsid w:val="00825C78"/>
    <w:rsid w:val="008317ED"/>
    <w:rsid w:val="00837A14"/>
    <w:rsid w:val="00841423"/>
    <w:rsid w:val="00842C58"/>
    <w:rsid w:val="00843103"/>
    <w:rsid w:val="00845A4C"/>
    <w:rsid w:val="00845BC1"/>
    <w:rsid w:val="0084725F"/>
    <w:rsid w:val="008518E9"/>
    <w:rsid w:val="00851AE8"/>
    <w:rsid w:val="00853D7B"/>
    <w:rsid w:val="00853EFC"/>
    <w:rsid w:val="00855900"/>
    <w:rsid w:val="008562FC"/>
    <w:rsid w:val="00857D5F"/>
    <w:rsid w:val="008609A5"/>
    <w:rsid w:val="00861750"/>
    <w:rsid w:val="00861779"/>
    <w:rsid w:val="008622AE"/>
    <w:rsid w:val="00863609"/>
    <w:rsid w:val="00865C99"/>
    <w:rsid w:val="00866F1B"/>
    <w:rsid w:val="008758EC"/>
    <w:rsid w:val="0088388C"/>
    <w:rsid w:val="008846B0"/>
    <w:rsid w:val="0088776E"/>
    <w:rsid w:val="008914F4"/>
    <w:rsid w:val="008915A7"/>
    <w:rsid w:val="00891672"/>
    <w:rsid w:val="00891FA9"/>
    <w:rsid w:val="00892478"/>
    <w:rsid w:val="00893F2B"/>
    <w:rsid w:val="008947A9"/>
    <w:rsid w:val="00895EF5"/>
    <w:rsid w:val="008972F0"/>
    <w:rsid w:val="008A0E88"/>
    <w:rsid w:val="008A6CB9"/>
    <w:rsid w:val="008A7162"/>
    <w:rsid w:val="008B05F8"/>
    <w:rsid w:val="008B209E"/>
    <w:rsid w:val="008B4819"/>
    <w:rsid w:val="008B4C24"/>
    <w:rsid w:val="008B4E9E"/>
    <w:rsid w:val="008B5735"/>
    <w:rsid w:val="008B795D"/>
    <w:rsid w:val="008B7C73"/>
    <w:rsid w:val="008C039F"/>
    <w:rsid w:val="008C0609"/>
    <w:rsid w:val="008C471E"/>
    <w:rsid w:val="008C6F31"/>
    <w:rsid w:val="008D3C05"/>
    <w:rsid w:val="008D467E"/>
    <w:rsid w:val="008D46FD"/>
    <w:rsid w:val="008D5061"/>
    <w:rsid w:val="008D5163"/>
    <w:rsid w:val="008D5A1F"/>
    <w:rsid w:val="008E0578"/>
    <w:rsid w:val="008E0CBA"/>
    <w:rsid w:val="008E1914"/>
    <w:rsid w:val="008E4E4F"/>
    <w:rsid w:val="008E7561"/>
    <w:rsid w:val="008E779A"/>
    <w:rsid w:val="008E79D3"/>
    <w:rsid w:val="008F11DD"/>
    <w:rsid w:val="008F2878"/>
    <w:rsid w:val="008F66C8"/>
    <w:rsid w:val="008F76DC"/>
    <w:rsid w:val="008F7732"/>
    <w:rsid w:val="00900455"/>
    <w:rsid w:val="0090235F"/>
    <w:rsid w:val="00904804"/>
    <w:rsid w:val="00904F31"/>
    <w:rsid w:val="00906933"/>
    <w:rsid w:val="00911C4E"/>
    <w:rsid w:val="00915C0D"/>
    <w:rsid w:val="00916C90"/>
    <w:rsid w:val="009177BD"/>
    <w:rsid w:val="00917ED4"/>
    <w:rsid w:val="009205A4"/>
    <w:rsid w:val="00922EB4"/>
    <w:rsid w:val="0092360F"/>
    <w:rsid w:val="009300B0"/>
    <w:rsid w:val="00931C7C"/>
    <w:rsid w:val="00934063"/>
    <w:rsid w:val="009345A2"/>
    <w:rsid w:val="00934D45"/>
    <w:rsid w:val="00934F95"/>
    <w:rsid w:val="009358E8"/>
    <w:rsid w:val="00936603"/>
    <w:rsid w:val="00936868"/>
    <w:rsid w:val="00936C1C"/>
    <w:rsid w:val="00940688"/>
    <w:rsid w:val="0094581D"/>
    <w:rsid w:val="009462A0"/>
    <w:rsid w:val="0094697A"/>
    <w:rsid w:val="00950C33"/>
    <w:rsid w:val="009534FA"/>
    <w:rsid w:val="00955FBE"/>
    <w:rsid w:val="00956213"/>
    <w:rsid w:val="0095714C"/>
    <w:rsid w:val="009572B6"/>
    <w:rsid w:val="00957BDA"/>
    <w:rsid w:val="00962AC9"/>
    <w:rsid w:val="00964E44"/>
    <w:rsid w:val="00967CF5"/>
    <w:rsid w:val="009713E3"/>
    <w:rsid w:val="00971E4D"/>
    <w:rsid w:val="0097337E"/>
    <w:rsid w:val="009737F3"/>
    <w:rsid w:val="009757AD"/>
    <w:rsid w:val="0097706B"/>
    <w:rsid w:val="00977DEF"/>
    <w:rsid w:val="00980713"/>
    <w:rsid w:val="00982B8B"/>
    <w:rsid w:val="00982CF2"/>
    <w:rsid w:val="00984AA9"/>
    <w:rsid w:val="009867F9"/>
    <w:rsid w:val="009906B6"/>
    <w:rsid w:val="00993248"/>
    <w:rsid w:val="00993D61"/>
    <w:rsid w:val="009941C0"/>
    <w:rsid w:val="00994DE7"/>
    <w:rsid w:val="009A0963"/>
    <w:rsid w:val="009A283E"/>
    <w:rsid w:val="009A3F32"/>
    <w:rsid w:val="009A50BE"/>
    <w:rsid w:val="009A5130"/>
    <w:rsid w:val="009A577A"/>
    <w:rsid w:val="009A7545"/>
    <w:rsid w:val="009A7AD6"/>
    <w:rsid w:val="009B0670"/>
    <w:rsid w:val="009B143F"/>
    <w:rsid w:val="009B158C"/>
    <w:rsid w:val="009B198E"/>
    <w:rsid w:val="009B2458"/>
    <w:rsid w:val="009B53A4"/>
    <w:rsid w:val="009B5C63"/>
    <w:rsid w:val="009B6324"/>
    <w:rsid w:val="009B6778"/>
    <w:rsid w:val="009B6D59"/>
    <w:rsid w:val="009B7233"/>
    <w:rsid w:val="009B7860"/>
    <w:rsid w:val="009C03EF"/>
    <w:rsid w:val="009C1E96"/>
    <w:rsid w:val="009C21CC"/>
    <w:rsid w:val="009C273C"/>
    <w:rsid w:val="009C310D"/>
    <w:rsid w:val="009C3933"/>
    <w:rsid w:val="009C3D12"/>
    <w:rsid w:val="009C43CE"/>
    <w:rsid w:val="009C4B6A"/>
    <w:rsid w:val="009C5258"/>
    <w:rsid w:val="009C5FA3"/>
    <w:rsid w:val="009C62DE"/>
    <w:rsid w:val="009C66E4"/>
    <w:rsid w:val="009C75F5"/>
    <w:rsid w:val="009D2275"/>
    <w:rsid w:val="009D3865"/>
    <w:rsid w:val="009D3E6E"/>
    <w:rsid w:val="009D49AB"/>
    <w:rsid w:val="009D4EAD"/>
    <w:rsid w:val="009D5A74"/>
    <w:rsid w:val="009D7DB8"/>
    <w:rsid w:val="009E04B5"/>
    <w:rsid w:val="009E0B9F"/>
    <w:rsid w:val="009E0C66"/>
    <w:rsid w:val="009E1E1B"/>
    <w:rsid w:val="009E28C5"/>
    <w:rsid w:val="009E4036"/>
    <w:rsid w:val="009E4392"/>
    <w:rsid w:val="009E730A"/>
    <w:rsid w:val="009E73A8"/>
    <w:rsid w:val="009F1163"/>
    <w:rsid w:val="009F3B77"/>
    <w:rsid w:val="009F5AE7"/>
    <w:rsid w:val="009F691B"/>
    <w:rsid w:val="009F6928"/>
    <w:rsid w:val="009F7FC3"/>
    <w:rsid w:val="00A020C0"/>
    <w:rsid w:val="00A0484F"/>
    <w:rsid w:val="00A05605"/>
    <w:rsid w:val="00A078E1"/>
    <w:rsid w:val="00A07F83"/>
    <w:rsid w:val="00A1100C"/>
    <w:rsid w:val="00A125B9"/>
    <w:rsid w:val="00A12F7E"/>
    <w:rsid w:val="00A13531"/>
    <w:rsid w:val="00A15195"/>
    <w:rsid w:val="00A15EAF"/>
    <w:rsid w:val="00A2041C"/>
    <w:rsid w:val="00A2194D"/>
    <w:rsid w:val="00A22C74"/>
    <w:rsid w:val="00A23930"/>
    <w:rsid w:val="00A24BF1"/>
    <w:rsid w:val="00A251BF"/>
    <w:rsid w:val="00A2636B"/>
    <w:rsid w:val="00A270EF"/>
    <w:rsid w:val="00A30E30"/>
    <w:rsid w:val="00A33174"/>
    <w:rsid w:val="00A335D7"/>
    <w:rsid w:val="00A3476E"/>
    <w:rsid w:val="00A34AA3"/>
    <w:rsid w:val="00A36C60"/>
    <w:rsid w:val="00A37748"/>
    <w:rsid w:val="00A46352"/>
    <w:rsid w:val="00A463C2"/>
    <w:rsid w:val="00A46D8C"/>
    <w:rsid w:val="00A47795"/>
    <w:rsid w:val="00A47B9F"/>
    <w:rsid w:val="00A5342D"/>
    <w:rsid w:val="00A54A65"/>
    <w:rsid w:val="00A54FC2"/>
    <w:rsid w:val="00A55244"/>
    <w:rsid w:val="00A55ADB"/>
    <w:rsid w:val="00A61A66"/>
    <w:rsid w:val="00A61A7E"/>
    <w:rsid w:val="00A62791"/>
    <w:rsid w:val="00A63B98"/>
    <w:rsid w:val="00A64B25"/>
    <w:rsid w:val="00A677E6"/>
    <w:rsid w:val="00A67CC4"/>
    <w:rsid w:val="00A70822"/>
    <w:rsid w:val="00A74086"/>
    <w:rsid w:val="00A74E87"/>
    <w:rsid w:val="00A75156"/>
    <w:rsid w:val="00A80C68"/>
    <w:rsid w:val="00A81F45"/>
    <w:rsid w:val="00A8261B"/>
    <w:rsid w:val="00A82B27"/>
    <w:rsid w:val="00A837CA"/>
    <w:rsid w:val="00A83ABF"/>
    <w:rsid w:val="00A83E5B"/>
    <w:rsid w:val="00A84568"/>
    <w:rsid w:val="00A8501C"/>
    <w:rsid w:val="00A8683C"/>
    <w:rsid w:val="00A86EB2"/>
    <w:rsid w:val="00A871B2"/>
    <w:rsid w:val="00A91898"/>
    <w:rsid w:val="00A921A4"/>
    <w:rsid w:val="00A92A44"/>
    <w:rsid w:val="00A92D90"/>
    <w:rsid w:val="00A93E60"/>
    <w:rsid w:val="00A96393"/>
    <w:rsid w:val="00A970FF"/>
    <w:rsid w:val="00A9716C"/>
    <w:rsid w:val="00A97A4F"/>
    <w:rsid w:val="00AA19BD"/>
    <w:rsid w:val="00AA28D8"/>
    <w:rsid w:val="00AA2A2F"/>
    <w:rsid w:val="00AA3C90"/>
    <w:rsid w:val="00AA49B6"/>
    <w:rsid w:val="00AA5D84"/>
    <w:rsid w:val="00AB1F17"/>
    <w:rsid w:val="00AB22B4"/>
    <w:rsid w:val="00AB3F6E"/>
    <w:rsid w:val="00AB65E7"/>
    <w:rsid w:val="00AB662C"/>
    <w:rsid w:val="00AB6BCC"/>
    <w:rsid w:val="00AB77CD"/>
    <w:rsid w:val="00AB798E"/>
    <w:rsid w:val="00AC0958"/>
    <w:rsid w:val="00AC3229"/>
    <w:rsid w:val="00AC3906"/>
    <w:rsid w:val="00AC4A2C"/>
    <w:rsid w:val="00AD32D9"/>
    <w:rsid w:val="00AD4953"/>
    <w:rsid w:val="00AD5B1C"/>
    <w:rsid w:val="00AD603B"/>
    <w:rsid w:val="00AD6B0C"/>
    <w:rsid w:val="00AE0C9D"/>
    <w:rsid w:val="00AE278A"/>
    <w:rsid w:val="00AE409B"/>
    <w:rsid w:val="00AE7813"/>
    <w:rsid w:val="00AF21E3"/>
    <w:rsid w:val="00AF29EE"/>
    <w:rsid w:val="00AF487F"/>
    <w:rsid w:val="00AF49E8"/>
    <w:rsid w:val="00AF4E56"/>
    <w:rsid w:val="00AF5BD2"/>
    <w:rsid w:val="00AF7BD0"/>
    <w:rsid w:val="00B02629"/>
    <w:rsid w:val="00B04DD9"/>
    <w:rsid w:val="00B05924"/>
    <w:rsid w:val="00B0603F"/>
    <w:rsid w:val="00B074F2"/>
    <w:rsid w:val="00B07608"/>
    <w:rsid w:val="00B07B9B"/>
    <w:rsid w:val="00B10325"/>
    <w:rsid w:val="00B10751"/>
    <w:rsid w:val="00B10D20"/>
    <w:rsid w:val="00B128F6"/>
    <w:rsid w:val="00B1425B"/>
    <w:rsid w:val="00B14729"/>
    <w:rsid w:val="00B14A4D"/>
    <w:rsid w:val="00B14B56"/>
    <w:rsid w:val="00B15090"/>
    <w:rsid w:val="00B1596A"/>
    <w:rsid w:val="00B1745E"/>
    <w:rsid w:val="00B3053F"/>
    <w:rsid w:val="00B31250"/>
    <w:rsid w:val="00B34B54"/>
    <w:rsid w:val="00B34DB0"/>
    <w:rsid w:val="00B3522B"/>
    <w:rsid w:val="00B358DD"/>
    <w:rsid w:val="00B43F26"/>
    <w:rsid w:val="00B44B74"/>
    <w:rsid w:val="00B45FD0"/>
    <w:rsid w:val="00B46109"/>
    <w:rsid w:val="00B474E7"/>
    <w:rsid w:val="00B51FFC"/>
    <w:rsid w:val="00B529DA"/>
    <w:rsid w:val="00B52F42"/>
    <w:rsid w:val="00B533D3"/>
    <w:rsid w:val="00B537E3"/>
    <w:rsid w:val="00B542D3"/>
    <w:rsid w:val="00B5695D"/>
    <w:rsid w:val="00B576AC"/>
    <w:rsid w:val="00B61B10"/>
    <w:rsid w:val="00B61C70"/>
    <w:rsid w:val="00B62034"/>
    <w:rsid w:val="00B631E9"/>
    <w:rsid w:val="00B6472A"/>
    <w:rsid w:val="00B657A9"/>
    <w:rsid w:val="00B739CF"/>
    <w:rsid w:val="00B76D49"/>
    <w:rsid w:val="00B77070"/>
    <w:rsid w:val="00B80F95"/>
    <w:rsid w:val="00B81598"/>
    <w:rsid w:val="00B81749"/>
    <w:rsid w:val="00B81C5B"/>
    <w:rsid w:val="00B81C7F"/>
    <w:rsid w:val="00B83918"/>
    <w:rsid w:val="00B9305F"/>
    <w:rsid w:val="00B94BE3"/>
    <w:rsid w:val="00B966E5"/>
    <w:rsid w:val="00B970B2"/>
    <w:rsid w:val="00BA0DC1"/>
    <w:rsid w:val="00BA1DC8"/>
    <w:rsid w:val="00BA5880"/>
    <w:rsid w:val="00BB005D"/>
    <w:rsid w:val="00BB4582"/>
    <w:rsid w:val="00BB4815"/>
    <w:rsid w:val="00BB5C80"/>
    <w:rsid w:val="00BB7576"/>
    <w:rsid w:val="00BC1029"/>
    <w:rsid w:val="00BC1062"/>
    <w:rsid w:val="00BC1C20"/>
    <w:rsid w:val="00BC233D"/>
    <w:rsid w:val="00BC2CDB"/>
    <w:rsid w:val="00BC44E1"/>
    <w:rsid w:val="00BC4A9C"/>
    <w:rsid w:val="00BC6012"/>
    <w:rsid w:val="00BC7B31"/>
    <w:rsid w:val="00BD001A"/>
    <w:rsid w:val="00BD2510"/>
    <w:rsid w:val="00BD25D5"/>
    <w:rsid w:val="00BD4029"/>
    <w:rsid w:val="00BD41B4"/>
    <w:rsid w:val="00BD455F"/>
    <w:rsid w:val="00BE1F6E"/>
    <w:rsid w:val="00BE431F"/>
    <w:rsid w:val="00BE6E49"/>
    <w:rsid w:val="00BE73B2"/>
    <w:rsid w:val="00BF09FA"/>
    <w:rsid w:val="00BF2A8C"/>
    <w:rsid w:val="00BF330C"/>
    <w:rsid w:val="00BF4665"/>
    <w:rsid w:val="00BF5872"/>
    <w:rsid w:val="00BF5B09"/>
    <w:rsid w:val="00BF70E0"/>
    <w:rsid w:val="00BF7A94"/>
    <w:rsid w:val="00C00322"/>
    <w:rsid w:val="00C01CD4"/>
    <w:rsid w:val="00C02164"/>
    <w:rsid w:val="00C028A7"/>
    <w:rsid w:val="00C03EC5"/>
    <w:rsid w:val="00C043BD"/>
    <w:rsid w:val="00C069E9"/>
    <w:rsid w:val="00C0764E"/>
    <w:rsid w:val="00C07677"/>
    <w:rsid w:val="00C137CA"/>
    <w:rsid w:val="00C152D6"/>
    <w:rsid w:val="00C15E1F"/>
    <w:rsid w:val="00C17B7B"/>
    <w:rsid w:val="00C204A9"/>
    <w:rsid w:val="00C206AD"/>
    <w:rsid w:val="00C20F06"/>
    <w:rsid w:val="00C2275A"/>
    <w:rsid w:val="00C22EE7"/>
    <w:rsid w:val="00C23050"/>
    <w:rsid w:val="00C25F94"/>
    <w:rsid w:val="00C26EEC"/>
    <w:rsid w:val="00C30604"/>
    <w:rsid w:val="00C3261A"/>
    <w:rsid w:val="00C3398E"/>
    <w:rsid w:val="00C3601A"/>
    <w:rsid w:val="00C37010"/>
    <w:rsid w:val="00C40C1A"/>
    <w:rsid w:val="00C47F92"/>
    <w:rsid w:val="00C50258"/>
    <w:rsid w:val="00C5105A"/>
    <w:rsid w:val="00C52BE5"/>
    <w:rsid w:val="00C536C2"/>
    <w:rsid w:val="00C56FD0"/>
    <w:rsid w:val="00C62CCB"/>
    <w:rsid w:val="00C645B2"/>
    <w:rsid w:val="00C65656"/>
    <w:rsid w:val="00C66CA9"/>
    <w:rsid w:val="00C66FBE"/>
    <w:rsid w:val="00C67941"/>
    <w:rsid w:val="00C7076D"/>
    <w:rsid w:val="00C7182F"/>
    <w:rsid w:val="00C738A7"/>
    <w:rsid w:val="00C76B69"/>
    <w:rsid w:val="00C77D9E"/>
    <w:rsid w:val="00C77DBC"/>
    <w:rsid w:val="00C83192"/>
    <w:rsid w:val="00C832A2"/>
    <w:rsid w:val="00C8703F"/>
    <w:rsid w:val="00C874AD"/>
    <w:rsid w:val="00C87970"/>
    <w:rsid w:val="00C87994"/>
    <w:rsid w:val="00C9107C"/>
    <w:rsid w:val="00C92FB7"/>
    <w:rsid w:val="00C93A78"/>
    <w:rsid w:val="00C95A40"/>
    <w:rsid w:val="00C96273"/>
    <w:rsid w:val="00C96BE7"/>
    <w:rsid w:val="00C97CD5"/>
    <w:rsid w:val="00CA1927"/>
    <w:rsid w:val="00CA1E4C"/>
    <w:rsid w:val="00CA2160"/>
    <w:rsid w:val="00CA261B"/>
    <w:rsid w:val="00CA452E"/>
    <w:rsid w:val="00CA46F8"/>
    <w:rsid w:val="00CA4E27"/>
    <w:rsid w:val="00CA5A7B"/>
    <w:rsid w:val="00CA7B9F"/>
    <w:rsid w:val="00CB11F7"/>
    <w:rsid w:val="00CB2060"/>
    <w:rsid w:val="00CB3299"/>
    <w:rsid w:val="00CB3B1A"/>
    <w:rsid w:val="00CB3DB7"/>
    <w:rsid w:val="00CB57CA"/>
    <w:rsid w:val="00CB58C3"/>
    <w:rsid w:val="00CC05A3"/>
    <w:rsid w:val="00CC1604"/>
    <w:rsid w:val="00CC1C00"/>
    <w:rsid w:val="00CC280A"/>
    <w:rsid w:val="00CC2E02"/>
    <w:rsid w:val="00CC4E85"/>
    <w:rsid w:val="00CD28B8"/>
    <w:rsid w:val="00CD393F"/>
    <w:rsid w:val="00CD547A"/>
    <w:rsid w:val="00CD67B9"/>
    <w:rsid w:val="00CD6FFC"/>
    <w:rsid w:val="00CE1ADE"/>
    <w:rsid w:val="00CE1B7A"/>
    <w:rsid w:val="00CE1D14"/>
    <w:rsid w:val="00CE1E9F"/>
    <w:rsid w:val="00CE4BF5"/>
    <w:rsid w:val="00CE67EF"/>
    <w:rsid w:val="00CF168A"/>
    <w:rsid w:val="00CF17CC"/>
    <w:rsid w:val="00CF28A3"/>
    <w:rsid w:val="00CF37FA"/>
    <w:rsid w:val="00CF3EBF"/>
    <w:rsid w:val="00CF4423"/>
    <w:rsid w:val="00CF66C1"/>
    <w:rsid w:val="00D012E0"/>
    <w:rsid w:val="00D0148C"/>
    <w:rsid w:val="00D01693"/>
    <w:rsid w:val="00D01F7A"/>
    <w:rsid w:val="00D023F5"/>
    <w:rsid w:val="00D0292C"/>
    <w:rsid w:val="00D0645C"/>
    <w:rsid w:val="00D1108F"/>
    <w:rsid w:val="00D114EE"/>
    <w:rsid w:val="00D12455"/>
    <w:rsid w:val="00D14128"/>
    <w:rsid w:val="00D141EE"/>
    <w:rsid w:val="00D14C30"/>
    <w:rsid w:val="00D14FA2"/>
    <w:rsid w:val="00D15465"/>
    <w:rsid w:val="00D1640C"/>
    <w:rsid w:val="00D16CF3"/>
    <w:rsid w:val="00D17C43"/>
    <w:rsid w:val="00D17EE8"/>
    <w:rsid w:val="00D204D8"/>
    <w:rsid w:val="00D2116D"/>
    <w:rsid w:val="00D213D6"/>
    <w:rsid w:val="00D2153D"/>
    <w:rsid w:val="00D25589"/>
    <w:rsid w:val="00D34158"/>
    <w:rsid w:val="00D349C6"/>
    <w:rsid w:val="00D3645E"/>
    <w:rsid w:val="00D430C5"/>
    <w:rsid w:val="00D43A83"/>
    <w:rsid w:val="00D44C74"/>
    <w:rsid w:val="00D471D1"/>
    <w:rsid w:val="00D512B7"/>
    <w:rsid w:val="00D53888"/>
    <w:rsid w:val="00D57FA4"/>
    <w:rsid w:val="00D6215F"/>
    <w:rsid w:val="00D62434"/>
    <w:rsid w:val="00D632C4"/>
    <w:rsid w:val="00D63741"/>
    <w:rsid w:val="00D65705"/>
    <w:rsid w:val="00D65D9B"/>
    <w:rsid w:val="00D661F7"/>
    <w:rsid w:val="00D66F20"/>
    <w:rsid w:val="00D7140F"/>
    <w:rsid w:val="00D71972"/>
    <w:rsid w:val="00D748A9"/>
    <w:rsid w:val="00D76180"/>
    <w:rsid w:val="00D7696B"/>
    <w:rsid w:val="00D8173C"/>
    <w:rsid w:val="00D835AD"/>
    <w:rsid w:val="00D83FB0"/>
    <w:rsid w:val="00D847E7"/>
    <w:rsid w:val="00D85180"/>
    <w:rsid w:val="00D85E00"/>
    <w:rsid w:val="00D86383"/>
    <w:rsid w:val="00D86FD8"/>
    <w:rsid w:val="00D87849"/>
    <w:rsid w:val="00D92237"/>
    <w:rsid w:val="00D953E0"/>
    <w:rsid w:val="00D959C7"/>
    <w:rsid w:val="00D9689E"/>
    <w:rsid w:val="00DA2177"/>
    <w:rsid w:val="00DA2652"/>
    <w:rsid w:val="00DB3DDF"/>
    <w:rsid w:val="00DB4B98"/>
    <w:rsid w:val="00DB4DAF"/>
    <w:rsid w:val="00DB54BB"/>
    <w:rsid w:val="00DB6C6E"/>
    <w:rsid w:val="00DC1A7A"/>
    <w:rsid w:val="00DC45BC"/>
    <w:rsid w:val="00DC6CDB"/>
    <w:rsid w:val="00DD0871"/>
    <w:rsid w:val="00DD163B"/>
    <w:rsid w:val="00DD2749"/>
    <w:rsid w:val="00DD2811"/>
    <w:rsid w:val="00DD3DEF"/>
    <w:rsid w:val="00DD6C0D"/>
    <w:rsid w:val="00DE175A"/>
    <w:rsid w:val="00DE7889"/>
    <w:rsid w:val="00DF088F"/>
    <w:rsid w:val="00DF201C"/>
    <w:rsid w:val="00DF2C41"/>
    <w:rsid w:val="00DF329C"/>
    <w:rsid w:val="00DF3689"/>
    <w:rsid w:val="00DF43F2"/>
    <w:rsid w:val="00DF5377"/>
    <w:rsid w:val="00DF53DD"/>
    <w:rsid w:val="00DF7153"/>
    <w:rsid w:val="00E001B8"/>
    <w:rsid w:val="00E01BED"/>
    <w:rsid w:val="00E02065"/>
    <w:rsid w:val="00E025F9"/>
    <w:rsid w:val="00E02F53"/>
    <w:rsid w:val="00E058CD"/>
    <w:rsid w:val="00E14DCA"/>
    <w:rsid w:val="00E14F57"/>
    <w:rsid w:val="00E21433"/>
    <w:rsid w:val="00E2316B"/>
    <w:rsid w:val="00E23337"/>
    <w:rsid w:val="00E275F3"/>
    <w:rsid w:val="00E3053B"/>
    <w:rsid w:val="00E3079B"/>
    <w:rsid w:val="00E32350"/>
    <w:rsid w:val="00E328C5"/>
    <w:rsid w:val="00E32EDD"/>
    <w:rsid w:val="00E33C6F"/>
    <w:rsid w:val="00E34282"/>
    <w:rsid w:val="00E3452D"/>
    <w:rsid w:val="00E34D14"/>
    <w:rsid w:val="00E3602D"/>
    <w:rsid w:val="00E36D64"/>
    <w:rsid w:val="00E415A4"/>
    <w:rsid w:val="00E42891"/>
    <w:rsid w:val="00E468A4"/>
    <w:rsid w:val="00E4763D"/>
    <w:rsid w:val="00E50CEE"/>
    <w:rsid w:val="00E51C38"/>
    <w:rsid w:val="00E54BD2"/>
    <w:rsid w:val="00E54CCB"/>
    <w:rsid w:val="00E55BFA"/>
    <w:rsid w:val="00E57BD0"/>
    <w:rsid w:val="00E64795"/>
    <w:rsid w:val="00E67D8A"/>
    <w:rsid w:val="00E67E52"/>
    <w:rsid w:val="00E70C48"/>
    <w:rsid w:val="00E715A5"/>
    <w:rsid w:val="00E738B3"/>
    <w:rsid w:val="00E7398C"/>
    <w:rsid w:val="00E73C5C"/>
    <w:rsid w:val="00E76DDE"/>
    <w:rsid w:val="00E77825"/>
    <w:rsid w:val="00E77B0E"/>
    <w:rsid w:val="00E817AB"/>
    <w:rsid w:val="00E828CB"/>
    <w:rsid w:val="00E84F2B"/>
    <w:rsid w:val="00E867F9"/>
    <w:rsid w:val="00E86CF5"/>
    <w:rsid w:val="00E878CB"/>
    <w:rsid w:val="00E902A5"/>
    <w:rsid w:val="00E91026"/>
    <w:rsid w:val="00E91DDA"/>
    <w:rsid w:val="00E925D9"/>
    <w:rsid w:val="00E93B6D"/>
    <w:rsid w:val="00E93E83"/>
    <w:rsid w:val="00E9447C"/>
    <w:rsid w:val="00E96BCE"/>
    <w:rsid w:val="00E97601"/>
    <w:rsid w:val="00EA0B2F"/>
    <w:rsid w:val="00EA40D0"/>
    <w:rsid w:val="00EA679F"/>
    <w:rsid w:val="00EA72E4"/>
    <w:rsid w:val="00EB1198"/>
    <w:rsid w:val="00EB2F20"/>
    <w:rsid w:val="00EB3D20"/>
    <w:rsid w:val="00EB3FCE"/>
    <w:rsid w:val="00EB6002"/>
    <w:rsid w:val="00EB61CC"/>
    <w:rsid w:val="00EC1268"/>
    <w:rsid w:val="00EC3742"/>
    <w:rsid w:val="00EC510D"/>
    <w:rsid w:val="00EC593B"/>
    <w:rsid w:val="00EC5B79"/>
    <w:rsid w:val="00EC6398"/>
    <w:rsid w:val="00EC7CFB"/>
    <w:rsid w:val="00ED02D4"/>
    <w:rsid w:val="00ED19F3"/>
    <w:rsid w:val="00ED349D"/>
    <w:rsid w:val="00ED6637"/>
    <w:rsid w:val="00ED6A90"/>
    <w:rsid w:val="00EE2972"/>
    <w:rsid w:val="00EE2ECC"/>
    <w:rsid w:val="00EE3389"/>
    <w:rsid w:val="00EE4A58"/>
    <w:rsid w:val="00EF223F"/>
    <w:rsid w:val="00EF2F5D"/>
    <w:rsid w:val="00EF3E65"/>
    <w:rsid w:val="00EF59C7"/>
    <w:rsid w:val="00F02753"/>
    <w:rsid w:val="00F069FB"/>
    <w:rsid w:val="00F07187"/>
    <w:rsid w:val="00F07363"/>
    <w:rsid w:val="00F10771"/>
    <w:rsid w:val="00F12658"/>
    <w:rsid w:val="00F14FA2"/>
    <w:rsid w:val="00F156D0"/>
    <w:rsid w:val="00F15EAC"/>
    <w:rsid w:val="00F164F1"/>
    <w:rsid w:val="00F17406"/>
    <w:rsid w:val="00F212D9"/>
    <w:rsid w:val="00F232C1"/>
    <w:rsid w:val="00F24463"/>
    <w:rsid w:val="00F246E2"/>
    <w:rsid w:val="00F253A7"/>
    <w:rsid w:val="00F25904"/>
    <w:rsid w:val="00F26B19"/>
    <w:rsid w:val="00F2759D"/>
    <w:rsid w:val="00F31C9B"/>
    <w:rsid w:val="00F32A49"/>
    <w:rsid w:val="00F3419D"/>
    <w:rsid w:val="00F379AE"/>
    <w:rsid w:val="00F408B8"/>
    <w:rsid w:val="00F43974"/>
    <w:rsid w:val="00F440C0"/>
    <w:rsid w:val="00F44648"/>
    <w:rsid w:val="00F46731"/>
    <w:rsid w:val="00F51D94"/>
    <w:rsid w:val="00F5378F"/>
    <w:rsid w:val="00F5455A"/>
    <w:rsid w:val="00F54DC6"/>
    <w:rsid w:val="00F550CC"/>
    <w:rsid w:val="00F57007"/>
    <w:rsid w:val="00F605B9"/>
    <w:rsid w:val="00F613D6"/>
    <w:rsid w:val="00F6576C"/>
    <w:rsid w:val="00F66937"/>
    <w:rsid w:val="00F66957"/>
    <w:rsid w:val="00F67184"/>
    <w:rsid w:val="00F70018"/>
    <w:rsid w:val="00F70D03"/>
    <w:rsid w:val="00F718FB"/>
    <w:rsid w:val="00F73221"/>
    <w:rsid w:val="00F735C3"/>
    <w:rsid w:val="00F75091"/>
    <w:rsid w:val="00F77D81"/>
    <w:rsid w:val="00F81FB0"/>
    <w:rsid w:val="00F85A08"/>
    <w:rsid w:val="00F875BD"/>
    <w:rsid w:val="00F911FA"/>
    <w:rsid w:val="00F92AFF"/>
    <w:rsid w:val="00F941F8"/>
    <w:rsid w:val="00F94B40"/>
    <w:rsid w:val="00F94E04"/>
    <w:rsid w:val="00F9513A"/>
    <w:rsid w:val="00F95524"/>
    <w:rsid w:val="00F9779B"/>
    <w:rsid w:val="00FA0246"/>
    <w:rsid w:val="00FA0C43"/>
    <w:rsid w:val="00FA32BB"/>
    <w:rsid w:val="00FA382C"/>
    <w:rsid w:val="00FA484D"/>
    <w:rsid w:val="00FA4B20"/>
    <w:rsid w:val="00FA626C"/>
    <w:rsid w:val="00FA70C8"/>
    <w:rsid w:val="00FA7D95"/>
    <w:rsid w:val="00FB1521"/>
    <w:rsid w:val="00FB2FD8"/>
    <w:rsid w:val="00FB3011"/>
    <w:rsid w:val="00FB3890"/>
    <w:rsid w:val="00FB495C"/>
    <w:rsid w:val="00FB59CB"/>
    <w:rsid w:val="00FB624D"/>
    <w:rsid w:val="00FB62D0"/>
    <w:rsid w:val="00FB62DA"/>
    <w:rsid w:val="00FB6378"/>
    <w:rsid w:val="00FC01A6"/>
    <w:rsid w:val="00FC0721"/>
    <w:rsid w:val="00FC3470"/>
    <w:rsid w:val="00FC359E"/>
    <w:rsid w:val="00FC38B7"/>
    <w:rsid w:val="00FC5207"/>
    <w:rsid w:val="00FC574F"/>
    <w:rsid w:val="00FD0293"/>
    <w:rsid w:val="00FD17EF"/>
    <w:rsid w:val="00FD3F17"/>
    <w:rsid w:val="00FD4901"/>
    <w:rsid w:val="00FD5879"/>
    <w:rsid w:val="00FE093E"/>
    <w:rsid w:val="00FE6446"/>
    <w:rsid w:val="00FE662B"/>
    <w:rsid w:val="00FE797F"/>
    <w:rsid w:val="00FF2285"/>
    <w:rsid w:val="00FF3C19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17C6D"/>
  <w15:docId w15:val="{FA92833B-0472-46E5-B95B-9B3B8B36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19E"/>
    <w:pPr>
      <w:spacing w:after="0" w:line="240" w:lineRule="auto"/>
    </w:pPr>
    <w:rPr>
      <w:rFonts w:ascii="Calibri" w:hAnsi="Calibri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AD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bg-BG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A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E1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F07187"/>
    <w:pPr>
      <w:spacing w:after="160" w:line="259" w:lineRule="auto"/>
      <w:ind w:left="720"/>
      <w:contextualSpacing/>
    </w:pPr>
    <w:rPr>
      <w:rFonts w:asciiTheme="minorHAnsi" w:hAnsiTheme="minorHAnsi" w:cstheme="minorBidi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5B1132"/>
    <w:pPr>
      <w:tabs>
        <w:tab w:val="center" w:pos="4536"/>
        <w:tab w:val="right" w:pos="9072"/>
      </w:tabs>
    </w:pPr>
    <w:rPr>
      <w:rFonts w:asciiTheme="minorHAnsi" w:hAnsiTheme="minorHAnsi" w:cstheme="minorBidi"/>
      <w:lang w:val="bg-BG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1132"/>
  </w:style>
  <w:style w:type="paragraph" w:styleId="Footer">
    <w:name w:val="footer"/>
    <w:basedOn w:val="Normal"/>
    <w:link w:val="FooterChar"/>
    <w:uiPriority w:val="99"/>
    <w:unhideWhenUsed/>
    <w:rsid w:val="005B1132"/>
    <w:pPr>
      <w:tabs>
        <w:tab w:val="center" w:pos="4536"/>
        <w:tab w:val="right" w:pos="9072"/>
      </w:tabs>
    </w:pPr>
    <w:rPr>
      <w:rFonts w:asciiTheme="minorHAnsi" w:hAnsiTheme="minorHAnsi" w:cstheme="minorBidi"/>
      <w:lang w:val="bg-BG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1132"/>
  </w:style>
  <w:style w:type="paragraph" w:styleId="TOCHeading">
    <w:name w:val="TOC Heading"/>
    <w:basedOn w:val="Heading1"/>
    <w:next w:val="Normal"/>
    <w:uiPriority w:val="39"/>
    <w:unhideWhenUsed/>
    <w:qFormat/>
    <w:rsid w:val="002053DF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5455A"/>
    <w:pPr>
      <w:tabs>
        <w:tab w:val="right" w:leader="dot" w:pos="9360"/>
      </w:tabs>
      <w:spacing w:after="100" w:line="259" w:lineRule="auto"/>
    </w:pPr>
    <w:rPr>
      <w:rFonts w:asciiTheme="minorHAnsi" w:hAnsiTheme="minorHAnsi" w:cstheme="minorBidi"/>
      <w:lang w:val="bg-BG" w:eastAsia="en-US"/>
    </w:rPr>
  </w:style>
  <w:style w:type="character" w:styleId="Hyperlink">
    <w:name w:val="Hyperlink"/>
    <w:basedOn w:val="DefaultParagraphFont"/>
    <w:uiPriority w:val="99"/>
    <w:unhideWhenUsed/>
    <w:rsid w:val="002053D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3DEF"/>
    <w:rPr>
      <w:rFonts w:asciiTheme="minorHAnsi" w:hAnsiTheme="minorHAnsi" w:cstheme="minorBidi"/>
      <w:sz w:val="20"/>
      <w:szCs w:val="20"/>
      <w:lang w:val="bg-BG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3D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3DEF"/>
    <w:rPr>
      <w:vertAlign w:val="superscript"/>
    </w:rPr>
  </w:style>
  <w:style w:type="paragraph" w:styleId="Revision">
    <w:name w:val="Revision"/>
    <w:hidden/>
    <w:uiPriority w:val="99"/>
    <w:semiHidden/>
    <w:rsid w:val="00A83A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7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2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2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2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2DE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51D94"/>
    <w:rPr>
      <w:color w:val="954F72" w:themeColor="followedHyperlink"/>
      <w:u w:val="single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C02164"/>
  </w:style>
  <w:style w:type="paragraph" w:styleId="EndnoteText">
    <w:name w:val="endnote text"/>
    <w:basedOn w:val="Normal"/>
    <w:link w:val="EndnoteTextChar"/>
    <w:uiPriority w:val="99"/>
    <w:semiHidden/>
    <w:unhideWhenUsed/>
    <w:rsid w:val="00A8683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8683C"/>
    <w:rPr>
      <w:rFonts w:ascii="Calibri" w:hAnsi="Calibri" w:cs="Times New Roman"/>
      <w:sz w:val="20"/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A86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p2023.bg/index.php/bg/sprzsr-bg/celi/specificna-cel-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p2023.bg/index.php/bg/sprzsr-bg/celi/specificna-cel-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eu.dfz.bg/seu/f?p=727:LOGIN_DESKTOP::::::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p2023.bg/index.php/bg/sprzsr-bg/cel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-cap-network.ec.europa.eu/projects/practice-abstracts_en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mi.government.bg/strategy-policy/deklaratsiya-za-msp-i-ukazaniya-za-popalvan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C5E9D-A9FB-47E5-8235-5CB61EE0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3614</TotalTime>
  <Pages>30</Pages>
  <Words>10505</Words>
  <Characters>59882</Characters>
  <Application>Microsoft Office Word</Application>
  <DocSecurity>0</DocSecurity>
  <Lines>499</Lines>
  <Paragraphs>140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 M. Krastev</dc:creator>
  <cp:lastModifiedBy>Milen M. Krastev</cp:lastModifiedBy>
  <cp:revision>63</cp:revision>
  <cp:lastPrinted>2025-09-30T07:48:00Z</cp:lastPrinted>
  <dcterms:created xsi:type="dcterms:W3CDTF">2025-09-25T06:56:00Z</dcterms:created>
  <dcterms:modified xsi:type="dcterms:W3CDTF">2025-10-16T08:14:00Z</dcterms:modified>
</cp:coreProperties>
</file>